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08E243">
      <w:pPr>
        <w:snapToGrid/>
        <w:spacing w:before="0" w:after="0" w:line="276" w:lineRule="auto"/>
        <w:jc w:val="center"/>
        <w:rPr>
          <w:rFonts w:ascii="微软雅黑" w:hAnsi="微软雅黑" w:eastAsia="微软雅黑" w:cs="微软雅黑"/>
          <w:b/>
          <w:color w:val="0070C0"/>
          <w:sz w:val="40"/>
          <w:szCs w:val="40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b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  <w:t>凯金新能源2027届招聘简章</w:t>
      </w:r>
    </w:p>
    <w:p w14:paraId="4A2C50B6">
      <w:pPr>
        <w:snapToGrid/>
        <w:spacing w:before="240" w:beforeLines="100" w:after="0" w:line="276" w:lineRule="auto"/>
        <w:jc w:val="both"/>
        <w:rPr>
          <w:rFonts w:ascii="微软雅黑" w:hAnsi="微软雅黑" w:eastAsia="微软雅黑" w:cs="微软雅黑"/>
          <w:b/>
          <w:color w:val="0070C0"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color w:val="0070C0"/>
          <w:sz w:val="36"/>
          <w:szCs w:val="36"/>
        </w:rPr>
        <w:t>一、实力领先看凯金</w:t>
      </w:r>
    </w:p>
    <w:p w14:paraId="708F27F6">
      <w:pPr>
        <w:snapToGrid/>
        <w:spacing w:before="0" w:after="0" w:line="276" w:lineRule="auto"/>
        <w:jc w:val="both"/>
        <w:rPr>
          <w:rFonts w:ascii="微软雅黑" w:hAnsi="微软雅黑" w:eastAsia="微软雅黑" w:cs="微软雅黑"/>
          <w:color w:val="0070C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color w:val="0070C0"/>
          <w:sz w:val="32"/>
          <w:szCs w:val="32"/>
        </w:rPr>
        <w:t>1.公司介绍</w:t>
      </w:r>
    </w:p>
    <w:p w14:paraId="3F22FCCE">
      <w:pPr>
        <w:snapToGrid/>
        <w:spacing w:before="0" w:after="0" w:line="276" w:lineRule="auto"/>
        <w:ind w:firstLine="480" w:firstLineChars="200"/>
        <w:jc w:val="both"/>
        <w:rPr>
          <w:rFonts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</w:rPr>
        <w:t>凯金新能源成立于</w:t>
      </w:r>
      <w:r>
        <w:rPr>
          <w:rFonts w:hint="eastAsia" w:ascii="微软雅黑" w:hAnsi="微软雅黑" w:eastAsia="微软雅黑" w:cs="微软雅黑"/>
          <w:b/>
          <w:bCs/>
          <w:color w:val="0070C0"/>
          <w:sz w:val="24"/>
          <w:szCs w:val="24"/>
        </w:rPr>
        <w:t>2012年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</w:rPr>
        <w:t>，作为全球负极材料头部企业，公司立足于新能源、新材料技术发展前沿，致力于电池负极材料研发、生产和销售。主要产品包括高性能人造石墨负极、储能硬炭负极、高能量密度硅基负极材料等。公司在人造石墨负极领域排名</w:t>
      </w:r>
      <w:r>
        <w:rPr>
          <w:rFonts w:hint="eastAsia" w:ascii="微软雅黑" w:hAnsi="微软雅黑" w:eastAsia="微软雅黑" w:cs="微软雅黑"/>
          <w:b/>
          <w:bCs/>
          <w:color w:val="0070C0"/>
          <w:sz w:val="24"/>
          <w:szCs w:val="24"/>
        </w:rPr>
        <w:t>世界前五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</w:rPr>
        <w:t>，在商用车人造石墨负极领域排名</w:t>
      </w:r>
      <w:r>
        <w:rPr>
          <w:rFonts w:hint="eastAsia" w:ascii="微软雅黑" w:hAnsi="微软雅黑" w:eastAsia="微软雅黑" w:cs="微软雅黑"/>
          <w:b/>
          <w:bCs/>
          <w:color w:val="0070C0"/>
          <w:sz w:val="24"/>
          <w:szCs w:val="24"/>
        </w:rPr>
        <w:t>世界第一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</w:rPr>
        <w:t>，亦是世界第一电池厂“宁德时代”的负极材料头部供应商。伴随行业的快速发展，2025年公司营收近50亿元，并保持持续上升的态势，预计2027年公司营收</w:t>
      </w:r>
      <w:r>
        <w:rPr>
          <w:rFonts w:hint="eastAsia" w:ascii="微软雅黑" w:hAnsi="微软雅黑" w:eastAsia="微软雅黑" w:cs="微软雅黑"/>
          <w:b/>
          <w:bCs/>
          <w:color w:val="0070C0"/>
          <w:sz w:val="24"/>
          <w:szCs w:val="24"/>
        </w:rPr>
        <w:t>超100亿元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</w:rPr>
        <w:t>。</w:t>
      </w:r>
    </w:p>
    <w:p w14:paraId="7747B183">
      <w:pPr>
        <w:snapToGrid/>
        <w:spacing w:before="0" w:after="0" w:line="240" w:lineRule="auto"/>
        <w:ind w:firstLine="480" w:firstLineChars="200"/>
        <w:jc w:val="both"/>
        <w:rPr>
          <w:rFonts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</w:rPr>
        <w:t>公司总部位于广东省松山湖国家级高新技术园区，在全国有</w:t>
      </w:r>
      <w:r>
        <w:rPr>
          <w:rFonts w:hint="eastAsia" w:ascii="微软雅黑" w:hAnsi="微软雅黑" w:eastAsia="微软雅黑" w:cs="微软雅黑"/>
          <w:b/>
          <w:bCs/>
          <w:color w:val="0070C0"/>
          <w:sz w:val="24"/>
          <w:szCs w:val="24"/>
        </w:rPr>
        <w:t>七大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</w:rPr>
        <w:t>生产基地。公司打造的“凯金研究院”的研发团队规模位居负极材料行业首位，总研发人数</w:t>
      </w:r>
      <w:r>
        <w:rPr>
          <w:rFonts w:hint="eastAsia" w:ascii="微软雅黑" w:hAnsi="微软雅黑" w:eastAsia="微软雅黑" w:cs="微软雅黑"/>
          <w:b/>
          <w:bCs/>
          <w:color w:val="0070C0"/>
          <w:sz w:val="24"/>
          <w:szCs w:val="24"/>
        </w:rPr>
        <w:t>500+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</w:rPr>
        <w:t>、硕博</w:t>
      </w:r>
      <w:r>
        <w:rPr>
          <w:rFonts w:hint="eastAsia" w:ascii="微软雅黑" w:hAnsi="微软雅黑" w:eastAsia="微软雅黑" w:cs="微软雅黑"/>
          <w:b/>
          <w:bCs/>
          <w:color w:val="0070C0"/>
          <w:sz w:val="24"/>
          <w:szCs w:val="24"/>
        </w:rPr>
        <w:t>110+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</w:rPr>
        <w:t>，先后被评为国家高新技术企业国家级专精特新“小巨人”企业，并荣获中国专利优秀奖。</w:t>
      </w:r>
    </w:p>
    <w:p w14:paraId="35DE2020">
      <w:pPr>
        <w:snapToGrid/>
        <w:spacing w:before="0" w:after="0" w:line="240" w:lineRule="auto"/>
        <w:ind w:firstLine="440" w:firstLineChars="200"/>
        <w:jc w:val="both"/>
        <w:rPr>
          <w:rFonts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eastAsia="微软雅黑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2687955</wp:posOffset>
            </wp:positionH>
            <wp:positionV relativeFrom="paragraph">
              <wp:posOffset>92710</wp:posOffset>
            </wp:positionV>
            <wp:extent cx="2359025" cy="1504315"/>
            <wp:effectExtent l="0" t="0" r="3175" b="4445"/>
            <wp:wrapNone/>
            <wp:docPr id="13" name="图片 13" descr="分析检测院实景图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分析检测院实景图 (2)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59025" cy="1504315"/>
                    </a:xfrm>
                    <a:prstGeom prst="rect">
                      <a:avLst/>
                    </a:prstGeom>
                    <a:effectLst>
                      <a:softEdge rad="31750"/>
                    </a:effectLst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  <w:color w:val="000000"/>
          <w:sz w:val="32"/>
          <w:szCs w:val="28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251460</wp:posOffset>
            </wp:positionH>
            <wp:positionV relativeFrom="paragraph">
              <wp:posOffset>102870</wp:posOffset>
            </wp:positionV>
            <wp:extent cx="2353310" cy="1457325"/>
            <wp:effectExtent l="0" t="0" r="8890" b="5715"/>
            <wp:wrapNone/>
            <wp:docPr id="2" name="descript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escript" descr="descript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331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86EC93">
      <w:pPr>
        <w:snapToGrid/>
        <w:spacing w:before="0" w:after="0" w:line="240" w:lineRule="auto"/>
        <w:ind w:firstLine="480" w:firstLineChars="200"/>
        <w:jc w:val="both"/>
        <w:rPr>
          <w:rFonts w:ascii="微软雅黑" w:hAnsi="微软雅黑" w:eastAsia="微软雅黑" w:cs="微软雅黑"/>
          <w:color w:val="auto"/>
          <w:sz w:val="24"/>
          <w:szCs w:val="24"/>
        </w:rPr>
      </w:pPr>
    </w:p>
    <w:p w14:paraId="05E7EEEA">
      <w:pPr>
        <w:snapToGrid/>
        <w:spacing w:before="0" w:after="0" w:line="240" w:lineRule="auto"/>
        <w:ind w:firstLine="480" w:firstLineChars="200"/>
        <w:jc w:val="both"/>
        <w:rPr>
          <w:rFonts w:ascii="微软雅黑" w:hAnsi="微软雅黑" w:eastAsia="微软雅黑" w:cs="微软雅黑"/>
          <w:color w:val="auto"/>
          <w:sz w:val="24"/>
          <w:szCs w:val="24"/>
        </w:rPr>
      </w:pPr>
    </w:p>
    <w:p w14:paraId="538323BC">
      <w:pPr>
        <w:snapToGrid/>
        <w:spacing w:before="0" w:after="0" w:line="240" w:lineRule="auto"/>
        <w:ind w:firstLine="480" w:firstLineChars="200"/>
        <w:jc w:val="both"/>
        <w:rPr>
          <w:rFonts w:ascii="微软雅黑" w:hAnsi="微软雅黑" w:eastAsia="微软雅黑" w:cs="微软雅黑"/>
          <w:color w:val="auto"/>
          <w:sz w:val="24"/>
          <w:szCs w:val="24"/>
        </w:rPr>
      </w:pPr>
    </w:p>
    <w:p w14:paraId="5DD7C7DE">
      <w:pPr>
        <w:snapToGrid/>
        <w:spacing w:before="0" w:after="0" w:line="240" w:lineRule="auto"/>
        <w:ind w:firstLine="480" w:firstLineChars="200"/>
        <w:jc w:val="both"/>
        <w:rPr>
          <w:rFonts w:ascii="微软雅黑" w:hAnsi="微软雅黑" w:eastAsia="微软雅黑" w:cs="微软雅黑"/>
          <w:color w:val="auto"/>
          <w:sz w:val="24"/>
          <w:szCs w:val="24"/>
        </w:rPr>
      </w:pPr>
    </w:p>
    <w:p w14:paraId="0669E18D">
      <w:pPr>
        <w:snapToGrid/>
        <w:spacing w:before="0" w:after="0" w:line="240" w:lineRule="auto"/>
        <w:jc w:val="both"/>
        <w:rPr>
          <w:rFonts w:ascii="微软雅黑" w:hAnsi="微软雅黑" w:eastAsia="微软雅黑" w:cs="微软雅黑"/>
          <w:color w:val="auto"/>
          <w:sz w:val="24"/>
          <w:szCs w:val="24"/>
        </w:rPr>
      </w:pPr>
    </w:p>
    <w:p w14:paraId="689E396F">
      <w:pPr>
        <w:snapToGrid/>
        <w:spacing w:before="120" w:beforeLines="50" w:after="240" w:afterLines="100" w:line="240" w:lineRule="auto"/>
        <w:rPr>
          <w:rFonts w:ascii="微软雅黑" w:hAnsi="微软雅黑" w:eastAsia="微软雅黑" w:cs="微软雅黑"/>
          <w:b/>
          <w:bCs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24"/>
          <w:szCs w:val="24"/>
        </w:rPr>
        <w:t xml:space="preserve">                         总部大楼                                      研究院</w:t>
      </w:r>
    </w:p>
    <w:p w14:paraId="746BF900">
      <w:pPr>
        <w:snapToGrid/>
        <w:spacing w:before="0" w:after="0" w:line="276" w:lineRule="auto"/>
        <w:jc w:val="both"/>
        <w:rPr>
          <w:rFonts w:ascii="微软雅黑" w:hAnsi="微软雅黑" w:eastAsia="微软雅黑" w:cs="微软雅黑"/>
          <w:color w:val="0070C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color w:val="0070C0"/>
          <w:sz w:val="32"/>
          <w:szCs w:val="32"/>
        </w:rPr>
        <w:t>2.产品介绍</w:t>
      </w:r>
    </w:p>
    <w:p w14:paraId="7DE4E3A4">
      <w:pPr>
        <w:snapToGrid/>
        <w:spacing w:before="0" w:after="0" w:line="276" w:lineRule="auto"/>
        <w:ind w:firstLine="480" w:firstLineChars="200"/>
        <w:jc w:val="both"/>
        <w:rPr>
          <w:rFonts w:ascii="微软雅黑" w:hAnsi="微软雅黑" w:eastAsia="微软雅黑" w:cs="微软雅黑"/>
          <w:color w:val="00000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sz w:val="24"/>
          <w:szCs w:val="24"/>
        </w:rPr>
        <w:t>负极材料全系列产品：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公司专注负极材料研发与制造，产品涵盖三大体系——</w:t>
      </w:r>
    </w:p>
    <w:p w14:paraId="3A98EB05">
      <w:pPr>
        <w:pStyle w:val="12"/>
        <w:numPr>
          <w:ilvl w:val="0"/>
          <w:numId w:val="1"/>
        </w:numPr>
        <w:snapToGrid/>
        <w:spacing w:before="0" w:after="0" w:line="276" w:lineRule="auto"/>
        <w:ind w:firstLineChars="0"/>
        <w:jc w:val="both"/>
        <w:rPr>
          <w:rFonts w:ascii="微软雅黑" w:hAnsi="微软雅黑" w:eastAsia="微软雅黑" w:cs="微软雅黑"/>
          <w:color w:val="00000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color w:val="0070C0"/>
          <w:sz w:val="24"/>
          <w:szCs w:val="24"/>
        </w:rPr>
        <w:t>人造石墨负极：</w:t>
      </w:r>
      <w:r>
        <w:rPr>
          <w:rFonts w:hint="eastAsia" w:ascii="微软雅黑" w:hAnsi="微软雅黑" w:eastAsia="微软雅黑" w:cs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高比能人造石墨（克容量≥360mAh/g）、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超快充人造石墨（6C直充不析锂）、长寿命人造石墨（循环寿命~15000次），满足动力电池高能量、快充、长寿命等多元需求。</w:t>
      </w:r>
    </w:p>
    <w:p w14:paraId="1225EF2A">
      <w:pPr>
        <w:pStyle w:val="12"/>
        <w:numPr>
          <w:ilvl w:val="0"/>
          <w:numId w:val="1"/>
        </w:numPr>
        <w:snapToGrid/>
        <w:spacing w:before="0" w:after="0" w:line="276" w:lineRule="auto"/>
        <w:ind w:firstLineChars="0"/>
        <w:jc w:val="both"/>
        <w:rPr>
          <w:rFonts w:ascii="微软雅黑" w:hAnsi="微软雅黑" w:eastAsia="微软雅黑" w:cs="微软雅黑"/>
          <w:color w:val="00000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color w:val="0070C0"/>
          <w:sz w:val="24"/>
          <w:szCs w:val="24"/>
        </w:rPr>
        <w:t>硅基负极：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普通硅氧负极、预锂硅氧负极、研磨硅碳负极（可逆容量&gt;1800mAh/g）及气相硅碳负极（超高容量2300+mAh/g），覆盖长循环、高能量密度、高功率等应用场景，是新一代高比能电池核心材料。</w:t>
      </w:r>
    </w:p>
    <w:p w14:paraId="0589E586">
      <w:pPr>
        <w:pStyle w:val="12"/>
        <w:numPr>
          <w:ilvl w:val="0"/>
          <w:numId w:val="1"/>
        </w:numPr>
        <w:snapToGrid/>
        <w:spacing w:before="0" w:after="0" w:line="276" w:lineRule="auto"/>
        <w:ind w:firstLineChars="0"/>
        <w:jc w:val="both"/>
        <w:rPr>
          <w:rFonts w:ascii="微软雅黑" w:hAnsi="微软雅黑" w:eastAsia="微软雅黑" w:cs="微软雅黑"/>
          <w:color w:val="00000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color w:val="0070C0"/>
          <w:sz w:val="24"/>
          <w:szCs w:val="24"/>
        </w:rPr>
        <w:t>硬炭负极：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储能/启停硬炭（钠电专用）、高比能硬炭（可逆容量340mAh/g、循环&gt;8000周）、高功率硬炭（满足-40℃充放电）、低成本硬炭（成本降低50%），为钠电商业化应用提供核心支撑。</w:t>
      </w:r>
    </w:p>
    <w:p w14:paraId="241292C3">
      <w:pPr>
        <w:snapToGrid/>
        <w:spacing w:before="0" w:after="0" w:line="276" w:lineRule="auto"/>
        <w:jc w:val="both"/>
        <w:rPr>
          <w:rFonts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color w:val="4F81BD" w:themeColor="accent1"/>
          <w:sz w:val="24"/>
          <w:szCs w:val="24"/>
          <w14:textFill>
            <w14:solidFill>
              <w14:schemeClr w14:val="accent1"/>
            </w14:solidFill>
          </w14:textFill>
        </w:rPr>
        <w:t xml:space="preserve"> </w:t>
      </w:r>
      <w:r>
        <w:rPr>
          <w:rFonts w:hint="eastAsia" w:ascii="微软雅黑" w:hAnsi="微软雅黑" w:eastAsia="微软雅黑" w:cs="微软雅黑"/>
          <w:b/>
          <w:color w:val="0070C0"/>
          <w:sz w:val="24"/>
          <w:szCs w:val="24"/>
        </w:rPr>
        <w:t>产品应用领域：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</w:rPr>
        <w:t>新能源汽车动力电池、储能电站、启停电源、消费电子、电动工具等。</w:t>
      </w:r>
    </w:p>
    <w:p w14:paraId="446D6D4B">
      <w:pPr>
        <w:snapToGrid/>
        <w:spacing w:before="0" w:after="0" w:line="276" w:lineRule="auto"/>
        <w:jc w:val="both"/>
        <w:rPr>
          <w:rFonts w:ascii="微软雅黑" w:hAnsi="微软雅黑" w:eastAsia="微软雅黑" w:cs="微软雅黑"/>
          <w:b/>
          <w:color w:val="0070C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color w:val="0070C0"/>
          <w:sz w:val="32"/>
          <w:szCs w:val="32"/>
        </w:rPr>
        <w:t>3.企业实力</w:t>
      </w:r>
    </w:p>
    <w:p w14:paraId="55323446">
      <w:pPr>
        <w:snapToGrid/>
        <w:spacing w:before="0" w:after="0" w:line="276" w:lineRule="auto"/>
        <w:jc w:val="both"/>
      </w:pPr>
      <w:r>
        <w:rPr>
          <w:rFonts w:hint="eastAsia" w:ascii="微软雅黑" w:hAnsi="微软雅黑" w:eastAsia="微软雅黑" w:cs="微软雅黑"/>
          <w:color w:val="000000"/>
        </w:rPr>
        <w:t xml:space="preserve">       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 xml:space="preserve"> 国家级专精特新“小巨人”、国家高新技术企业、国家级知识产权示范企业、中国专利优秀奖、国家级绿色工厂、授权专利</w:t>
      </w:r>
      <w:r>
        <w:rPr>
          <w:rFonts w:hint="eastAsia" w:ascii="微软雅黑" w:hAnsi="微软雅黑" w:eastAsia="微软雅黑" w:cs="微软雅黑"/>
          <w:b/>
          <w:color w:val="0070C0"/>
          <w:sz w:val="24"/>
          <w:szCs w:val="24"/>
        </w:rPr>
        <w:t>297</w:t>
      </w:r>
      <w:r>
        <w:rPr>
          <w:rFonts w:hint="eastAsia" w:ascii="微软雅黑" w:hAnsi="微软雅黑" w:eastAsia="微软雅黑" w:cs="微软雅黑"/>
          <w:color w:val="121212"/>
          <w:sz w:val="24"/>
          <w:szCs w:val="24"/>
        </w:rPr>
        <w:t>项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、发明专利项</w:t>
      </w:r>
      <w:r>
        <w:rPr>
          <w:rFonts w:hint="eastAsia" w:ascii="微软雅黑" w:hAnsi="微软雅黑" w:eastAsia="微软雅黑" w:cs="微软雅黑"/>
          <w:b/>
          <w:color w:val="0070C0"/>
          <w:sz w:val="24"/>
          <w:szCs w:val="24"/>
        </w:rPr>
        <w:t>136</w:t>
      </w:r>
      <w:r>
        <w:rPr>
          <w:rFonts w:hint="eastAsia" w:ascii="微软雅黑" w:hAnsi="微软雅黑" w:eastAsia="微软雅黑" w:cs="微软雅黑"/>
          <w:color w:val="121212"/>
          <w:sz w:val="24"/>
          <w:szCs w:val="24"/>
        </w:rPr>
        <w:t>项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、实用新型专利</w:t>
      </w:r>
      <w:r>
        <w:rPr>
          <w:rFonts w:hint="eastAsia" w:ascii="微软雅黑" w:hAnsi="微软雅黑" w:eastAsia="微软雅黑" w:cs="微软雅黑"/>
          <w:b/>
          <w:color w:val="0070C0"/>
          <w:sz w:val="24"/>
          <w:szCs w:val="24"/>
        </w:rPr>
        <w:t>138</w:t>
      </w:r>
      <w:r>
        <w:rPr>
          <w:rFonts w:hint="eastAsia" w:ascii="微软雅黑" w:hAnsi="微软雅黑" w:eastAsia="微软雅黑" w:cs="微软雅黑"/>
          <w:color w:val="121212"/>
          <w:sz w:val="24"/>
          <w:szCs w:val="24"/>
        </w:rPr>
        <w:t>项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、国际发明专利</w:t>
      </w:r>
      <w:r>
        <w:rPr>
          <w:rFonts w:hint="eastAsia" w:ascii="微软雅黑" w:hAnsi="微软雅黑" w:eastAsia="微软雅黑" w:cs="微软雅黑"/>
          <w:b/>
          <w:color w:val="0070C0"/>
          <w:sz w:val="24"/>
          <w:szCs w:val="24"/>
        </w:rPr>
        <w:t>23</w:t>
      </w:r>
      <w:r>
        <w:rPr>
          <w:rFonts w:hint="eastAsia" w:ascii="微软雅黑" w:hAnsi="微软雅黑" w:eastAsia="微软雅黑" w:cs="微软雅黑"/>
          <w:color w:val="121212"/>
          <w:sz w:val="24"/>
          <w:szCs w:val="24"/>
        </w:rPr>
        <w:t>项。</w:t>
      </w:r>
    </w:p>
    <w:p w14:paraId="3292F514">
      <w:pPr>
        <w:snapToGrid/>
        <w:spacing w:before="0" w:after="0" w:line="276" w:lineRule="auto"/>
        <w:jc w:val="both"/>
        <w:rPr>
          <w:rFonts w:ascii="微软雅黑" w:hAnsi="微软雅黑" w:eastAsia="微软雅黑" w:cs="微软雅黑"/>
          <w:color w:val="000000"/>
          <w:sz w:val="32"/>
          <w:szCs w:val="28"/>
        </w:rPr>
      </w:pPr>
      <w:r>
        <w:drawing>
          <wp:inline distT="0" distB="0" distL="114300" distR="114300">
            <wp:extent cx="5753735" cy="1222375"/>
            <wp:effectExtent l="0" t="0" r="0" b="0"/>
            <wp:docPr id="3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rcRect b="5960"/>
                    <a:stretch>
                      <a:fillRect/>
                    </a:stretch>
                  </pic:blipFill>
                  <pic:spPr>
                    <a:xfrm>
                      <a:off x="0" y="0"/>
                      <a:ext cx="5753735" cy="122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4121150</wp:posOffset>
                </wp:positionH>
                <wp:positionV relativeFrom="paragraph">
                  <wp:posOffset>322580</wp:posOffset>
                </wp:positionV>
                <wp:extent cx="661670" cy="186690"/>
                <wp:effectExtent l="0" t="0" r="0" b="0"/>
                <wp:wrapNone/>
                <wp:docPr id="58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020945" y="4190365"/>
                          <a:ext cx="661670" cy="1866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1936B4A">
                            <w:pPr>
                              <w:pStyle w:val="4"/>
                              <w:jc w:val="center"/>
                            </w:pPr>
                            <w:r>
                              <w:rPr>
                                <w:rFonts w:hAnsi="Times New Roman" w:asciiTheme="minorHAnsi" w:eastAsiaTheme="minorEastAsia"/>
                                <w:color w:val="000000" w:themeColor="text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IATF16949</w:t>
                            </w:r>
                          </w:p>
                        </w:txbxContent>
                      </wps:txbx>
                      <wps:bodyPr wrap="square" rtlCol="0">
                        <a:norm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7" o:spid="_x0000_s1026" o:spt="202" type="#_x0000_t202" style="position:absolute;left:0pt;margin-left:324.5pt;margin-top:25.4pt;height:14.7pt;width:52.1pt;z-index:251666432;mso-width-relative:page;mso-height-relative:page;" filled="f" stroked="f" coordsize="21600,21600" o:gfxdata="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6SwMPtcAAAAJAQAADwAAAAAAAAABACAAAAAiAAAAZHJzL2Rv&#10;d25yZXYueG1sUEsBAhQAFAAAAAgAh07iQJCHcnXJAQAAbAMAAA4AAAAAAAAAAQAgAAAAJgEAAGRy&#10;cy9lMm9Eb2MueG1sUEsFBgAAAAAGAAYAWQEAAGE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51936B4A">
                      <w:pPr>
                        <w:pStyle w:val="4"/>
                        <w:jc w:val="center"/>
                      </w:pPr>
                      <w:r>
                        <w:rPr>
                          <w:rFonts w:hAnsi="Times New Roman" w:asciiTheme="minorHAnsi" w:eastAsiaTheme="minorEastAsia"/>
                          <w:color w:val="000000" w:themeColor="text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IATF16949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631190</wp:posOffset>
                </wp:positionH>
                <wp:positionV relativeFrom="paragraph">
                  <wp:posOffset>53975</wp:posOffset>
                </wp:positionV>
                <wp:extent cx="661670" cy="186690"/>
                <wp:effectExtent l="0" t="0" r="0" b="0"/>
                <wp:wrapNone/>
                <wp:docPr id="59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530985" y="4270375"/>
                          <a:ext cx="661670" cy="1866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6D988BB">
                            <w:pPr>
                              <w:pStyle w:val="4"/>
                              <w:jc w:val="center"/>
                            </w:pPr>
                            <w:r>
                              <w:rPr>
                                <w:rFonts w:hAnsi="Times New Roman" w:asciiTheme="minorHAnsi" w:eastAsiaTheme="minorEastAsia"/>
                                <w:color w:val="000000" w:themeColor="text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ISO 9001</w:t>
                            </w:r>
                          </w:p>
                        </w:txbxContent>
                      </wps:txbx>
                      <wps:bodyPr wrap="square" rtlCol="0">
                        <a:norm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8" o:spid="_x0000_s1026" o:spt="202" type="#_x0000_t202" style="position:absolute;left:0pt;margin-left:49.7pt;margin-top:4.25pt;height:14.7pt;width:52.1pt;z-index:251667456;mso-width-relative:page;mso-height-relative:page;" filled="f" stroked="f" coordsize="21600,21600" o:gfxdata="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y39ngdQAAAAHAQAADwAAAAAAAAABACAAAAAiAAAAZHJzL2Rvd25y&#10;ZXYueG1sUEsBAhQAFAAAAAgAh07iQHszHb7JAQAAbAMAAA4AAAAAAAAAAQAgAAAAIwEAAGRycy9l&#10;Mm9Eb2MueG1sUEsFBgAAAAAGAAYAWQEAAF4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66D988BB">
                      <w:pPr>
                        <w:pStyle w:val="4"/>
                        <w:jc w:val="center"/>
                      </w:pPr>
                      <w:r>
                        <w:rPr>
                          <w:rFonts w:hAnsi="Times New Roman" w:asciiTheme="minorHAnsi" w:eastAsiaTheme="minorEastAsia"/>
                          <w:color w:val="000000" w:themeColor="text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ISO 9001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3961765</wp:posOffset>
                </wp:positionH>
                <wp:positionV relativeFrom="paragraph">
                  <wp:posOffset>53975</wp:posOffset>
                </wp:positionV>
                <wp:extent cx="689610" cy="186690"/>
                <wp:effectExtent l="0" t="0" r="0" b="0"/>
                <wp:wrapNone/>
                <wp:docPr id="57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61560" y="4270375"/>
                          <a:ext cx="689610" cy="1866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F5140F3">
                            <w:pPr>
                              <w:pStyle w:val="4"/>
                              <w:jc w:val="center"/>
                            </w:pPr>
                            <w:r>
                              <w:rPr>
                                <w:rFonts w:hAnsi="Times New Roman" w:asciiTheme="minorHAnsi" w:eastAsiaTheme="minorEastAsia"/>
                                <w:color w:val="000000" w:themeColor="text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ISO14064</w:t>
                            </w:r>
                          </w:p>
                        </w:txbxContent>
                      </wps:txbx>
                      <wps:bodyPr wrap="square" rtlCol="0">
                        <a:norm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6" o:spid="_x0000_s1026" o:spt="202" type="#_x0000_t202" style="position:absolute;left:0pt;margin-left:311.95pt;margin-top:4.25pt;height:14.7pt;width:54.3pt;z-index:251665408;mso-width-relative:page;mso-height-relative:page;" filled="f" stroked="f" coordsize="21600,21600" o:gfxdata="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Cc8yc31wAAAAgBAAAPAAAAAAAAAAEAIAAAACIAAABkcnMvZG93&#10;bnJldi54bWxQSwECFAAUAAAACACHTuJA4XdDxcgBAABsAwAADgAAAAAAAAABACAAAAAmAQAAZHJz&#10;L2Uyb0RvYy54bWxQSwUGAAAAAAYABgBZAQAAY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7F5140F3">
                      <w:pPr>
                        <w:pStyle w:val="4"/>
                        <w:jc w:val="center"/>
                      </w:pPr>
                      <w:r>
                        <w:rPr>
                          <w:rFonts w:hAnsi="Times New Roman" w:asciiTheme="minorHAnsi" w:eastAsiaTheme="minorEastAsia"/>
                          <w:color w:val="000000" w:themeColor="text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ISO14064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1245235</wp:posOffset>
                </wp:positionH>
                <wp:positionV relativeFrom="paragraph">
                  <wp:posOffset>53975</wp:posOffset>
                </wp:positionV>
                <wp:extent cx="703580" cy="186690"/>
                <wp:effectExtent l="0" t="0" r="0" b="0"/>
                <wp:wrapNone/>
                <wp:docPr id="56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145030" y="4270375"/>
                          <a:ext cx="703580" cy="1866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1B4C043">
                            <w:pPr>
                              <w:pStyle w:val="4"/>
                              <w:jc w:val="center"/>
                            </w:pPr>
                            <w:r>
                              <w:rPr>
                                <w:rFonts w:hAnsi="Times New Roman" w:asciiTheme="minorHAnsi" w:eastAsiaTheme="minorEastAsia"/>
                                <w:color w:val="000000" w:themeColor="text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ISO14067</w:t>
                            </w:r>
                          </w:p>
                        </w:txbxContent>
                      </wps:txbx>
                      <wps:bodyPr wrap="square" rtlCol="0">
                        <a:norm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5" o:spid="_x0000_s1026" o:spt="202" type="#_x0000_t202" style="position:absolute;left:0pt;margin-left:98.05pt;margin-top:4.25pt;height:14.7pt;width:55.4pt;z-index:251664384;mso-width-relative:page;mso-height-relative:page;" filled="f" stroked="f" coordsize="21600,21600" o:gfxdata="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BDSHJbWAAAACAEAAA8AAAAAAAAAAQAgAAAAIgAAAGRycy9kb3du&#10;cmV2LnhtbFBLAQIUABQAAAAIAIdO4kC2GLBuyAEAAGwDAAAOAAAAAAAAAAEAIAAAACUBAABkcnMv&#10;ZTJvRG9jLnhtbFBLBQYAAAAABgAGAFkBAABf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01B4C043">
                      <w:pPr>
                        <w:pStyle w:val="4"/>
                        <w:jc w:val="center"/>
                      </w:pPr>
                      <w:r>
                        <w:rPr>
                          <w:rFonts w:hAnsi="Times New Roman" w:asciiTheme="minorHAnsi" w:eastAsiaTheme="minorEastAsia"/>
                          <w:color w:val="000000" w:themeColor="text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ISO14067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1887220</wp:posOffset>
                </wp:positionH>
                <wp:positionV relativeFrom="paragraph">
                  <wp:posOffset>53975</wp:posOffset>
                </wp:positionV>
                <wp:extent cx="750570" cy="186690"/>
                <wp:effectExtent l="0" t="0" r="0" b="0"/>
                <wp:wrapNone/>
                <wp:docPr id="55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787015" y="4270375"/>
                          <a:ext cx="750570" cy="1866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E1D3F35">
                            <w:pPr>
                              <w:pStyle w:val="4"/>
                              <w:jc w:val="center"/>
                            </w:pPr>
                            <w:r>
                              <w:rPr>
                                <w:rFonts w:hAnsi="Times New Roman" w:asciiTheme="minorHAnsi" w:eastAsiaTheme="minorEastAsia"/>
                                <w:color w:val="000000" w:themeColor="text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ISO45001</w:t>
                            </w:r>
                          </w:p>
                        </w:txbxContent>
                      </wps:txbx>
                      <wps:bodyPr wrap="square" rtlCol="0">
                        <a:norm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4" o:spid="_x0000_s1026" o:spt="202" type="#_x0000_t202" style="position:absolute;left:0pt;margin-left:148.6pt;margin-top:4.25pt;height:14.7pt;width:59.1pt;z-index:251663360;mso-width-relative:page;mso-height-relative:page;" filled="f" stroked="f" coordsize="21600,21600" o:gfxdata="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B/jO7s1gAAAAgBAAAPAAAAAAAAAAEAIAAAACIAAABkcnMvZG93&#10;bnJldi54bWxQSwECFAAUAAAACACHTuJAeQSfdMkBAABsAwAADgAAAAAAAAABACAAAAAlAQAAZHJz&#10;L2Uyb0RvYy54bWxQSwUGAAAAAAYABgBZAQAAY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4E1D3F35">
                      <w:pPr>
                        <w:pStyle w:val="4"/>
                        <w:jc w:val="center"/>
                      </w:pPr>
                      <w:r>
                        <w:rPr>
                          <w:rFonts w:hAnsi="Times New Roman" w:asciiTheme="minorHAnsi" w:eastAsiaTheme="minorEastAsia"/>
                          <w:color w:val="000000" w:themeColor="text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ISO45001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3276600</wp:posOffset>
                </wp:positionH>
                <wp:positionV relativeFrom="paragraph">
                  <wp:posOffset>53975</wp:posOffset>
                </wp:positionV>
                <wp:extent cx="750570" cy="186690"/>
                <wp:effectExtent l="0" t="0" r="0" b="0"/>
                <wp:wrapNone/>
                <wp:docPr id="54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176395" y="4270375"/>
                          <a:ext cx="750570" cy="1866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0FDD357">
                            <w:pPr>
                              <w:pStyle w:val="4"/>
                              <w:jc w:val="center"/>
                            </w:pPr>
                            <w:r>
                              <w:rPr>
                                <w:rFonts w:hAnsi="Times New Roman" w:asciiTheme="minorHAnsi" w:eastAsiaTheme="minorEastAsia"/>
                                <w:color w:val="000000" w:themeColor="text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ISO14001</w:t>
                            </w:r>
                          </w:p>
                        </w:txbxContent>
                      </wps:txbx>
                      <wps:bodyPr wrap="square" rtlCol="0">
                        <a:norm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3" o:spid="_x0000_s1026" o:spt="202" type="#_x0000_t202" style="position:absolute;left:0pt;margin-left:258pt;margin-top:4.25pt;height:14.7pt;width:59.1pt;z-index:251662336;mso-width-relative:page;mso-height-relative:page;" filled="f" stroked="f" coordsize="21600,21600" o:gfxdata="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dhgo89cAAAAIAQAADwAAAAAAAAABACAAAAAiAAAAZHJzL2Rv&#10;d25yZXYueG1sUEsBAhQAFAAAAAgAh07iQFTXyanJAQAAbAMAAA4AAAAAAAAAAQAgAAAAJgEAAGRy&#10;cy9lMm9Eb2MueG1sUEsFBgAAAAAGAAYAWQEAAGE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00FDD357">
                      <w:pPr>
                        <w:pStyle w:val="4"/>
                        <w:jc w:val="center"/>
                      </w:pPr>
                      <w:r>
                        <w:rPr>
                          <w:rFonts w:hAnsi="Times New Roman" w:asciiTheme="minorHAnsi" w:eastAsiaTheme="minorEastAsia"/>
                          <w:color w:val="000000" w:themeColor="text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ISO14001</w:t>
                      </w:r>
                    </w:p>
                  </w:txbxContent>
                </v:textbox>
              </v:shape>
            </w:pict>
          </mc:Fallback>
        </mc:AlternateContent>
      </w:r>
    </w:p>
    <w:p w14:paraId="419C2C9D">
      <w:pPr>
        <w:snapToGrid/>
        <w:spacing w:before="240" w:beforeLines="100" w:after="0" w:line="276" w:lineRule="auto"/>
        <w:jc w:val="both"/>
        <w:rPr>
          <w:rFonts w:ascii="微软雅黑" w:hAnsi="微软雅黑" w:eastAsia="微软雅黑" w:cs="微软雅黑"/>
          <w:b/>
          <w:color w:val="0070C0"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color w:val="0070C0"/>
          <w:sz w:val="36"/>
          <w:szCs w:val="36"/>
        </w:rPr>
        <w:t>二、校招求职看凯金</w:t>
      </w:r>
    </w:p>
    <w:p w14:paraId="1C37C71C">
      <w:pPr>
        <w:snapToGrid/>
        <w:spacing w:before="0" w:after="0" w:line="276" w:lineRule="auto"/>
        <w:jc w:val="both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color w:val="0070C0"/>
          <w:sz w:val="30"/>
          <w:szCs w:val="30"/>
        </w:rPr>
        <w:t>1.招聘对象：</w:t>
      </w: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2027届本、硕、博应届毕业生</w:t>
      </w:r>
    </w:p>
    <w:p w14:paraId="6E92DA8B">
      <w:pPr>
        <w:snapToGrid/>
        <w:spacing w:before="0" w:after="0" w:line="276" w:lineRule="auto"/>
        <w:jc w:val="both"/>
        <w:rPr>
          <w:rFonts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color w:val="0070C0"/>
          <w:sz w:val="30"/>
          <w:szCs w:val="30"/>
        </w:rPr>
        <w:t>2.工作地点：</w:t>
      </w: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广东东莞（总部）、江苏盐城、浙江湖州、内蒙古乌兰察布、贵州铜仁、贵州贵阳</w:t>
      </w:r>
    </w:p>
    <w:p w14:paraId="69F18F93">
      <w:pPr>
        <w:snapToGrid/>
        <w:spacing w:before="0" w:after="0" w:line="276" w:lineRule="auto"/>
        <w:jc w:val="both"/>
        <w:rPr>
          <w:rFonts w:ascii="微软雅黑" w:hAnsi="微软雅黑" w:eastAsia="微软雅黑" w:cs="微软雅黑"/>
          <w:b/>
          <w:color w:val="0070C0"/>
          <w:sz w:val="30"/>
          <w:szCs w:val="30"/>
        </w:rPr>
      </w:pPr>
      <w:r>
        <w:rPr>
          <w:rFonts w:hint="eastAsia" w:ascii="微软雅黑" w:hAnsi="微软雅黑" w:eastAsia="微软雅黑" w:cs="微软雅黑"/>
          <w:b/>
          <w:color w:val="0070C0"/>
          <w:sz w:val="30"/>
          <w:szCs w:val="30"/>
        </w:rPr>
        <w:t>3.招聘岗位：</w:t>
      </w:r>
    </w:p>
    <w:tbl>
      <w:tblPr>
        <w:tblStyle w:val="7"/>
        <w:tblpPr w:leftFromText="180" w:rightFromText="180" w:vertAnchor="text" w:tblpXSpec="center" w:tblpY="1"/>
        <w:tblOverlap w:val="never"/>
        <w:tblW w:w="9405" w:type="dxa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6"/>
        <w:gridCol w:w="3227"/>
        <w:gridCol w:w="4102"/>
      </w:tblGrid>
      <w:tr w14:paraId="0A3866BD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0070C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299A89">
            <w:pPr>
              <w:snapToGrid/>
              <w:spacing w:before="0" w:after="0" w:line="276" w:lineRule="auto"/>
              <w:jc w:val="center"/>
              <w:rPr>
                <w:rFonts w:ascii="微软雅黑" w:hAnsi="微软雅黑" w:eastAsia="微软雅黑" w:cs="微软雅黑"/>
                <w:b/>
                <w:color w:val="FFFFFF" w:themeColor="background1"/>
                <w:sz w:val="24"/>
                <w:szCs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color w:val="FFFFFF" w:themeColor="background1"/>
                <w:sz w:val="24"/>
                <w:szCs w:val="24"/>
                <w14:textFill>
                  <w14:solidFill>
                    <w14:schemeClr w14:val="bg1"/>
                  </w14:solidFill>
                </w14:textFill>
              </w:rPr>
              <w:t>岗位类别</w:t>
            </w:r>
          </w:p>
        </w:tc>
        <w:tc>
          <w:tcPr>
            <w:tcW w:w="32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0070C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92578">
            <w:pPr>
              <w:snapToGrid/>
              <w:spacing w:before="0" w:after="0" w:line="276" w:lineRule="auto"/>
              <w:jc w:val="center"/>
              <w:rPr>
                <w:rFonts w:ascii="微软雅黑" w:hAnsi="微软雅黑" w:eastAsia="微软雅黑" w:cs="微软雅黑"/>
                <w:b/>
                <w:color w:val="FFFFFF" w:themeColor="background1"/>
                <w:sz w:val="24"/>
                <w:szCs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color w:val="FFFFFF" w:themeColor="background1"/>
                <w:sz w:val="24"/>
                <w:szCs w:val="24"/>
                <w14:textFill>
                  <w14:solidFill>
                    <w14:schemeClr w14:val="bg1"/>
                  </w14:solidFill>
                </w14:textFill>
              </w:rPr>
              <w:t>岗位名称</w:t>
            </w:r>
          </w:p>
        </w:tc>
        <w:tc>
          <w:tcPr>
            <w:tcW w:w="41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0070C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374DA">
            <w:pPr>
              <w:snapToGrid/>
              <w:spacing w:before="0" w:after="0" w:line="276" w:lineRule="auto"/>
              <w:jc w:val="center"/>
              <w:rPr>
                <w:rFonts w:ascii="微软雅黑" w:hAnsi="微软雅黑" w:eastAsia="微软雅黑" w:cs="微软雅黑"/>
                <w:b/>
                <w:color w:val="FFFFFF" w:themeColor="background1"/>
                <w:sz w:val="24"/>
                <w:szCs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color w:val="FFFFFF" w:themeColor="background1"/>
                <w:sz w:val="24"/>
                <w:szCs w:val="24"/>
                <w14:textFill>
                  <w14:solidFill>
                    <w14:schemeClr w14:val="bg1"/>
                  </w14:solidFill>
                </w14:textFill>
              </w:rPr>
              <w:t>岗位要求</w:t>
            </w:r>
          </w:p>
        </w:tc>
      </w:tr>
      <w:tr w14:paraId="16A76119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76" w:type="dxa"/>
            <w:tcBorders>
              <w:top w:val="singl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5D6D0">
            <w:pPr>
              <w:snapToGrid/>
              <w:spacing w:before="0" w:after="0" w:line="276" w:lineRule="auto"/>
              <w:jc w:val="center"/>
              <w:rPr>
                <w:rFonts w:ascii="微软雅黑" w:hAnsi="微软雅黑" w:eastAsia="微软雅黑" w:cs="微软雅黑"/>
                <w:b/>
                <w:color w:val="00000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8"/>
                <w:szCs w:val="28"/>
              </w:rPr>
              <w:t>研发类</w:t>
            </w:r>
          </w:p>
        </w:tc>
        <w:tc>
          <w:tcPr>
            <w:tcW w:w="3227" w:type="dxa"/>
            <w:tcBorders>
              <w:top w:val="singl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5A8A3">
            <w:pPr>
              <w:snapToGrid/>
              <w:spacing w:before="0" w:after="0" w:line="276" w:lineRule="auto"/>
              <w:jc w:val="both"/>
              <w:rPr>
                <w:rFonts w:ascii="微软雅黑" w:hAnsi="微软雅黑" w:eastAsia="微软雅黑" w:cs="微软雅黑"/>
                <w:color w:val="00000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  <w:t>研发工程师、产品导入工程师、基础研究工程师</w:t>
            </w:r>
          </w:p>
          <w:p w14:paraId="18300116">
            <w:pPr>
              <w:snapToGrid/>
              <w:spacing w:before="0" w:after="0" w:line="276" w:lineRule="auto"/>
              <w:jc w:val="both"/>
              <w:rPr>
                <w:rFonts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4102" w:type="dxa"/>
            <w:tcBorders>
              <w:top w:val="singl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323EEE">
            <w:pPr>
              <w:snapToGrid/>
              <w:spacing w:before="0" w:after="0" w:line="276" w:lineRule="auto"/>
              <w:jc w:val="both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  <w:t>1.本科及以上学历，材料科学与工程、新能源材料、化学、化工等相关专业优先；</w:t>
            </w:r>
          </w:p>
          <w:p w14:paraId="2F082775">
            <w:pPr>
              <w:snapToGrid/>
              <w:spacing w:before="0" w:after="0" w:line="276" w:lineRule="auto"/>
              <w:jc w:val="both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2.</w:t>
            </w: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  <w:t>具备扎实的材料学/电化学基础知识，熟悉锂电池负极材料研发流程优先；</w:t>
            </w:r>
          </w:p>
          <w:p w14:paraId="463B7EE3">
            <w:pPr>
              <w:snapToGrid/>
              <w:spacing w:before="0" w:after="0" w:line="276" w:lineRule="auto"/>
              <w:jc w:val="both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3.</w:t>
            </w: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  <w:t>优先录取：参与相关科研竞赛并取得名次；在实验室/课题组担任核心成员；有相关实习或项目经历。</w:t>
            </w:r>
          </w:p>
        </w:tc>
      </w:tr>
      <w:tr w14:paraId="09547897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76" w:type="dxa"/>
            <w:tcBorders>
              <w:top w:val="singl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BB2DD">
            <w:pPr>
              <w:snapToGrid/>
              <w:spacing w:before="0" w:after="0" w:line="276" w:lineRule="auto"/>
              <w:jc w:val="center"/>
              <w:rPr>
                <w:rFonts w:ascii="微软雅黑" w:hAnsi="微软雅黑" w:eastAsia="微软雅黑" w:cs="微软雅黑"/>
                <w:b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8"/>
                <w:szCs w:val="28"/>
              </w:rPr>
              <w:t>工程设备类</w:t>
            </w:r>
          </w:p>
        </w:tc>
        <w:tc>
          <w:tcPr>
            <w:tcW w:w="3227" w:type="dxa"/>
            <w:tcBorders>
              <w:top w:val="singl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85ABCC">
            <w:pPr>
              <w:snapToGrid/>
              <w:spacing w:before="0" w:after="0" w:line="276" w:lineRule="auto"/>
              <w:jc w:val="both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工艺工程师、包覆碳化工艺工程师、石墨化工艺工程师、材料工艺工程师、磨粉造粒工艺工程师、设备工程师、自动化工程师、电气工程师、自控工程师、机械工程师等岗位</w:t>
            </w:r>
          </w:p>
          <w:p w14:paraId="7FB6495C">
            <w:pPr>
              <w:snapToGrid/>
              <w:spacing w:before="0" w:after="0" w:line="276" w:lineRule="auto"/>
              <w:jc w:val="both"/>
              <w:rPr>
                <w:rFonts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4102" w:type="dxa"/>
            <w:tcBorders>
              <w:top w:val="singl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DD931">
            <w:pPr>
              <w:numPr>
                <w:ilvl w:val="0"/>
                <w:numId w:val="2"/>
              </w:numPr>
              <w:snapToGrid/>
              <w:spacing w:before="0" w:after="0" w:line="276" w:lineRule="auto"/>
              <w:jc w:val="both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本科及以上学历，材料科学与工程、新能源材料、化学、化工、</w:t>
            </w: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  <w:t>自动化、电气工程、机械工程、机电一体化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等相关专业优先；</w:t>
            </w:r>
          </w:p>
          <w:p w14:paraId="0C2AD512">
            <w:pPr>
              <w:snapToGrid/>
              <w:spacing w:before="0" w:after="0" w:line="276" w:lineRule="auto"/>
              <w:jc w:val="both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2、具备良好的实验设计、数据统计与问题分析能力，熟练使用Office、Minitab/Origin、CAD等办公软件。</w:t>
            </w: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  <w:t>具备扎实的电气/机械/自动化基础知识，熟悉PLC编程、CAD绘图等优先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；</w:t>
            </w:r>
          </w:p>
          <w:p w14:paraId="7D9D0AFC">
            <w:pPr>
              <w:snapToGrid/>
              <w:spacing w:before="0" w:after="0" w:line="276" w:lineRule="auto"/>
              <w:jc w:val="both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3、优先录取：有电池材料、粉体材料、机器学习或质量数据分析课题经历优先。</w:t>
            </w: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  <w:t>参与机器人大赛/电子设计竞赛等并获奖；有相关设备调试或项目实习经历。</w:t>
            </w:r>
          </w:p>
        </w:tc>
      </w:tr>
      <w:tr w14:paraId="1E4D4FD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2076" w:type="dxa"/>
            <w:tcBorders>
              <w:top w:val="singl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1C6530">
            <w:pPr>
              <w:snapToGrid/>
              <w:spacing w:before="0" w:after="0" w:line="276" w:lineRule="auto"/>
              <w:jc w:val="center"/>
              <w:rPr>
                <w:rFonts w:ascii="微软雅黑" w:hAnsi="微软雅黑" w:eastAsia="微软雅黑" w:cs="微软雅黑"/>
                <w:b/>
                <w:color w:val="00000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8"/>
                <w:szCs w:val="28"/>
              </w:rPr>
              <w:t>品质管理类</w:t>
            </w:r>
          </w:p>
        </w:tc>
        <w:tc>
          <w:tcPr>
            <w:tcW w:w="3227" w:type="dxa"/>
            <w:tcBorders>
              <w:top w:val="singl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986C0">
            <w:pPr>
              <w:snapToGrid/>
              <w:spacing w:before="0" w:after="0" w:line="276" w:lineRule="auto"/>
              <w:jc w:val="both"/>
              <w:rPr>
                <w:rFonts w:ascii="微软雅黑" w:hAnsi="微软雅黑" w:eastAsia="微软雅黑" w:cs="微软雅黑"/>
                <w:color w:val="000000"/>
                <w:sz w:val="24"/>
                <w:szCs w:val="24"/>
              </w:rPr>
            </w:pPr>
          </w:p>
          <w:p w14:paraId="3F88F065">
            <w:pPr>
              <w:snapToGrid/>
              <w:spacing w:before="0" w:after="0" w:line="276" w:lineRule="auto"/>
              <w:jc w:val="both"/>
              <w:rPr>
                <w:rFonts w:ascii="微软雅黑" w:hAnsi="微软雅黑" w:eastAsia="微软雅黑" w:cs="微软雅黑"/>
                <w:color w:val="00000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  <w:t>CQE工程师、PQE工程师、SQE工程师、质量工程师等岗位</w:t>
            </w:r>
          </w:p>
          <w:p w14:paraId="44BD8C93">
            <w:pPr>
              <w:snapToGrid/>
              <w:spacing w:before="0" w:after="0" w:line="276" w:lineRule="auto"/>
              <w:jc w:val="both"/>
              <w:rPr>
                <w:rFonts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4102" w:type="dxa"/>
            <w:tcBorders>
              <w:top w:val="singl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ACDA3">
            <w:pPr>
              <w:snapToGrid/>
              <w:spacing w:before="0" w:after="0" w:line="276" w:lineRule="auto"/>
              <w:jc w:val="both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  <w:t>1.本科及以上学历，材料、化工、质量管理、统计学等相关专业优先；</w:t>
            </w:r>
          </w:p>
          <w:p w14:paraId="7608C602">
            <w:pPr>
              <w:snapToGrid/>
              <w:spacing w:before="0" w:after="0" w:line="276" w:lineRule="auto"/>
              <w:jc w:val="both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2.</w:t>
            </w: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  <w:t>具备扎实的质量分析基础知识，熟悉QC七大手法、SPC、FMEA等质量工具优先；</w:t>
            </w:r>
          </w:p>
          <w:p w14:paraId="682BDAF1">
            <w:pPr>
              <w:snapToGrid/>
              <w:spacing w:before="0" w:after="0" w:line="276" w:lineRule="auto"/>
              <w:jc w:val="both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3.</w:t>
            </w: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  <w:t>优先录取：参与质量相关项目或实习；有数据分析竞赛经历；担任学生干部。</w:t>
            </w:r>
          </w:p>
        </w:tc>
      </w:tr>
      <w:tr w14:paraId="471AC65D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2076" w:type="dxa"/>
            <w:tcBorders>
              <w:top w:val="singl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4AC19">
            <w:pPr>
              <w:snapToGrid/>
              <w:spacing w:before="0" w:after="0" w:line="276" w:lineRule="auto"/>
              <w:jc w:val="center"/>
              <w:rPr>
                <w:rFonts w:ascii="微软雅黑" w:hAnsi="微软雅黑" w:eastAsia="微软雅黑" w:cs="微软雅黑"/>
                <w:b/>
                <w:color w:val="00000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8"/>
                <w:szCs w:val="28"/>
              </w:rPr>
              <w:t>供应链类</w:t>
            </w:r>
          </w:p>
        </w:tc>
        <w:tc>
          <w:tcPr>
            <w:tcW w:w="3227" w:type="dxa"/>
            <w:tcBorders>
              <w:top w:val="singl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BDCCE6">
            <w:pPr>
              <w:snapToGrid/>
              <w:spacing w:before="0" w:after="0" w:line="276" w:lineRule="auto"/>
              <w:jc w:val="both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  <w:t>采购管理工程师、采购运营工程师、计划管理工程师、物控工程师等岗位</w:t>
            </w:r>
          </w:p>
        </w:tc>
        <w:tc>
          <w:tcPr>
            <w:tcW w:w="4102" w:type="dxa"/>
            <w:tcBorders>
              <w:top w:val="singl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4166A8">
            <w:pPr>
              <w:snapToGrid/>
              <w:spacing w:before="0" w:after="0" w:line="276" w:lineRule="auto"/>
              <w:jc w:val="both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  <w:t>1.本科及以上学历，物流管理、供应链管理、工业工程、统计学、材料等相关专业优先；</w:t>
            </w:r>
          </w:p>
          <w:p w14:paraId="5BC800BD">
            <w:pPr>
              <w:snapToGrid/>
              <w:spacing w:before="0" w:after="0" w:line="276" w:lineRule="auto"/>
              <w:jc w:val="both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2.</w:t>
            </w: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  <w:t>具备扎实的供应链/生产计划基础知识，能熟练使用Excel进行数据处理与分析；</w:t>
            </w:r>
          </w:p>
          <w:p w14:paraId="50C2121D">
            <w:pPr>
              <w:snapToGrid/>
              <w:spacing w:before="0" w:after="0" w:line="276" w:lineRule="auto"/>
              <w:jc w:val="both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3.</w:t>
            </w: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  <w:t>优先录取：有物流/采购/生产实习经历；参与相关学科竞赛；担任学生干部或社团职务。</w:t>
            </w:r>
          </w:p>
        </w:tc>
      </w:tr>
      <w:tr w14:paraId="0EFACEC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2076" w:type="dxa"/>
            <w:tcBorders>
              <w:top w:val="singl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AEA2DC">
            <w:pPr>
              <w:snapToGrid/>
              <w:spacing w:before="0" w:after="0" w:line="276" w:lineRule="auto"/>
              <w:jc w:val="center"/>
              <w:rPr>
                <w:rFonts w:ascii="微软雅黑" w:hAnsi="微软雅黑" w:eastAsia="微软雅黑" w:cs="微软雅黑"/>
                <w:b/>
                <w:color w:val="00000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8"/>
                <w:szCs w:val="28"/>
              </w:rPr>
              <w:t>IT类</w:t>
            </w:r>
          </w:p>
        </w:tc>
        <w:tc>
          <w:tcPr>
            <w:tcW w:w="3227" w:type="dxa"/>
            <w:tcBorders>
              <w:top w:val="singl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853B2">
            <w:pPr>
              <w:snapToGrid/>
              <w:spacing w:before="0" w:after="0" w:line="276" w:lineRule="auto"/>
              <w:jc w:val="both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  <w:t>IT开发岗、IT数字岗等岗位</w:t>
            </w:r>
          </w:p>
        </w:tc>
        <w:tc>
          <w:tcPr>
            <w:tcW w:w="4102" w:type="dxa"/>
            <w:tcBorders>
              <w:top w:val="singl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B9561F">
            <w:pPr>
              <w:snapToGrid/>
              <w:spacing w:before="0" w:after="0" w:line="276" w:lineRule="auto"/>
              <w:jc w:val="both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  <w:t>1.本科及以上学历，计算机科学与技术、软件工程、信息管理、大数据等相关专业优先；</w:t>
            </w:r>
          </w:p>
          <w:p w14:paraId="00A532BC">
            <w:pPr>
              <w:snapToGrid/>
              <w:spacing w:before="0" w:after="0" w:line="276" w:lineRule="auto"/>
              <w:jc w:val="both"/>
              <w:rPr>
                <w:rFonts w:ascii="微软雅黑" w:hAnsi="微软雅黑" w:eastAsia="微软雅黑" w:cs="微软雅黑"/>
                <w:color w:val="00000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  <w:t>2.具备扎实的编程基础，熟悉常用编程语言（Java/Python等）和开发工具，了解数据库原理；</w:t>
            </w:r>
          </w:p>
          <w:p w14:paraId="0304D6F4">
            <w:pPr>
              <w:snapToGrid/>
              <w:spacing w:before="0" w:after="0" w:line="276" w:lineRule="auto"/>
              <w:jc w:val="both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  <w:t>3.优先录取：参与编程竞赛并取得名次；参与相关技术协会/组织并担任职务；有项目开发或实习经历。</w:t>
            </w:r>
          </w:p>
        </w:tc>
      </w:tr>
      <w:tr w14:paraId="392C49BC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2076" w:type="dxa"/>
            <w:tcBorders>
              <w:top w:val="singl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248B9">
            <w:pPr>
              <w:snapToGrid/>
              <w:spacing w:before="0" w:after="0" w:line="276" w:lineRule="auto"/>
              <w:jc w:val="center"/>
              <w:rPr>
                <w:rFonts w:ascii="微软雅黑" w:hAnsi="微软雅黑" w:eastAsia="微软雅黑" w:cs="微软雅黑"/>
                <w:b/>
                <w:color w:val="00000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8"/>
                <w:szCs w:val="28"/>
              </w:rPr>
              <w:t>产品管理类</w:t>
            </w:r>
          </w:p>
        </w:tc>
        <w:tc>
          <w:tcPr>
            <w:tcW w:w="3227" w:type="dxa"/>
            <w:tcBorders>
              <w:top w:val="singl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6F7476">
            <w:pPr>
              <w:snapToGrid/>
              <w:spacing w:before="0" w:after="0" w:line="276" w:lineRule="auto"/>
              <w:jc w:val="both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  <w:t>产品经理岗、产品规划岗、产品组合管理岗等岗位</w:t>
            </w:r>
          </w:p>
        </w:tc>
        <w:tc>
          <w:tcPr>
            <w:tcW w:w="4102" w:type="dxa"/>
            <w:tcBorders>
              <w:top w:val="singl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070F5">
            <w:pPr>
              <w:snapToGrid/>
              <w:spacing w:before="0" w:after="0" w:line="276" w:lineRule="auto"/>
              <w:jc w:val="both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  <w:t>1.本科及以上学历，材料、市场营销、工商管理等相关专业优先，对新能源行业有强烈兴趣；</w:t>
            </w:r>
          </w:p>
          <w:p w14:paraId="236F15FE">
            <w:pPr>
              <w:snapToGrid/>
              <w:spacing w:before="0" w:after="0" w:line="276" w:lineRule="auto"/>
              <w:jc w:val="both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  <w:t>2.具备较强的市场分析能力、数据敏感度和逻辑思维能力，能熟练使用Office进行产品分析；</w:t>
            </w:r>
          </w:p>
          <w:p w14:paraId="5DA75010">
            <w:pPr>
              <w:snapToGrid/>
              <w:spacing w:before="0" w:after="0" w:line="276" w:lineRule="auto"/>
              <w:jc w:val="both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  <w:t>3.优先录取：有产品/市场相关实习经历；担任学生干部或社团负责人。</w:t>
            </w:r>
          </w:p>
        </w:tc>
      </w:tr>
      <w:tr w14:paraId="288D6FC0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6" w:hRule="atLeast"/>
        </w:trPr>
        <w:tc>
          <w:tcPr>
            <w:tcW w:w="2076" w:type="dxa"/>
            <w:tcBorders>
              <w:top w:val="single" w:color="000000" w:sz="0" w:space="0"/>
              <w:left w:val="single" w:color="000000" w:sz="6" w:space="0"/>
              <w:bottom w:val="single" w:color="000000" w:sz="0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F421E">
            <w:pPr>
              <w:snapToGrid/>
              <w:spacing w:before="0" w:after="0" w:line="276" w:lineRule="auto"/>
              <w:jc w:val="center"/>
              <w:rPr>
                <w:rFonts w:ascii="微软雅黑" w:hAnsi="微软雅黑" w:eastAsia="微软雅黑" w:cs="微软雅黑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8"/>
                <w:szCs w:val="28"/>
              </w:rPr>
              <w:t>职能支持类</w:t>
            </w:r>
          </w:p>
        </w:tc>
        <w:tc>
          <w:tcPr>
            <w:tcW w:w="3227" w:type="dxa"/>
            <w:tcBorders>
              <w:top w:val="single" w:color="000000" w:sz="0" w:space="0"/>
              <w:left w:val="single" w:color="000000" w:sz="6" w:space="0"/>
              <w:bottom w:val="single" w:color="000000" w:sz="0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E9D3C9">
            <w:pPr>
              <w:snapToGrid/>
              <w:spacing w:before="0" w:after="0" w:line="276" w:lineRule="auto"/>
              <w:jc w:val="both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  <w:t>技术经济分析岗、智能工厂规划岗、精益改善岗、项目管理岗、税务会计岗、总账会计岗、招聘与配置岗、绩效管理岗、品牌策划岗等岗位</w:t>
            </w:r>
          </w:p>
        </w:tc>
        <w:tc>
          <w:tcPr>
            <w:tcW w:w="4102" w:type="dxa"/>
            <w:tcBorders>
              <w:top w:val="single" w:color="000000" w:sz="0" w:space="0"/>
              <w:left w:val="single" w:color="000000" w:sz="6" w:space="0"/>
              <w:bottom w:val="single" w:color="000000" w:sz="0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ECD35">
            <w:pPr>
              <w:snapToGrid/>
              <w:spacing w:before="0" w:after="0" w:line="276" w:lineRule="auto"/>
              <w:jc w:val="both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  <w:t>1.本科及以上学历，财务管理、会计学、人力资源管理、市场营销、工商管理、工业工程、信息管理等相关专业优先；</w:t>
            </w:r>
          </w:p>
          <w:p w14:paraId="25432263">
            <w:pPr>
              <w:snapToGrid/>
              <w:spacing w:before="0" w:after="0" w:line="276" w:lineRule="auto"/>
              <w:jc w:val="both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  <w:t>2.具备扎实的专业基础知识，能熟练使用Office办公软件，财务岗需熟悉财务软件优先；</w:t>
            </w:r>
          </w:p>
          <w:p w14:paraId="4DA0D072">
            <w:pPr>
              <w:snapToGrid/>
              <w:spacing w:before="0" w:after="0" w:line="276" w:lineRule="auto"/>
              <w:jc w:val="both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  <w:t>3.优先录取：有相关岗位实习经历；担任学生干部或社团职务；参与勤工助学。</w:t>
            </w:r>
          </w:p>
        </w:tc>
      </w:tr>
      <w:tr w14:paraId="7235D2F4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9405" w:type="dxa"/>
            <w:gridSpan w:val="3"/>
            <w:tcBorders>
              <w:top w:val="singl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30019">
            <w:pPr>
              <w:pStyle w:val="4"/>
              <w:widowControl/>
              <w:jc w:val="center"/>
              <w:rPr>
                <w:rFonts w:ascii="微软雅黑" w:hAnsi="微软雅黑" w:eastAsia="微软雅黑" w:cs="微软雅黑"/>
                <w:color w:val="000000"/>
                <w:szCs w:val="24"/>
              </w:rPr>
            </w:pPr>
            <w:r>
              <w:rPr>
                <w:rFonts w:ascii="微软雅黑" w:hAnsi="微软雅黑" w:eastAsia="微软雅黑" w:cs="微软雅黑"/>
                <w:b/>
                <w:bCs/>
                <w:color w:val="0070C0"/>
                <w:sz w:val="21"/>
                <w:szCs w:val="21"/>
                <w:shd w:val="clear" w:color="auto" w:fill="FFFFFF"/>
              </w:rPr>
              <w:t>※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70C0"/>
                <w:sz w:val="21"/>
                <w:szCs w:val="21"/>
                <w:shd w:val="clear" w:color="auto" w:fill="FFFFFF"/>
              </w:rPr>
              <w:t>更多研发、工艺、自动化、IT、职能等方向岗位，请查看招聘官网职位详情~</w:t>
            </w:r>
          </w:p>
        </w:tc>
      </w:tr>
    </w:tbl>
    <w:p w14:paraId="1D45B57F">
      <w:pPr>
        <w:numPr>
          <w:ilvl w:val="0"/>
          <w:numId w:val="3"/>
        </w:numPr>
        <w:snapToGrid/>
        <w:spacing w:before="360" w:beforeLines="150" w:after="0" w:line="276" w:lineRule="auto"/>
        <w:jc w:val="both"/>
        <w:rPr>
          <w:rFonts w:ascii="微软雅黑" w:hAnsi="微软雅黑" w:eastAsia="微软雅黑" w:cs="微软雅黑"/>
          <w:b/>
          <w:color w:val="0070C0"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color w:val="0070C0"/>
          <w:sz w:val="36"/>
          <w:szCs w:val="36"/>
        </w:rPr>
        <w:t>福利拉满看凯金</w:t>
      </w:r>
    </w:p>
    <w:p w14:paraId="567D7FAA">
      <w:pPr>
        <w:snapToGrid/>
        <w:spacing w:before="0" w:after="0" w:line="276" w:lineRule="auto"/>
        <w:ind w:firstLine="284"/>
        <w:jc w:val="both"/>
        <w:rPr>
          <w:rFonts w:ascii="微软雅黑" w:hAnsi="微软雅黑" w:eastAsia="微软雅黑" w:cs="微软雅黑"/>
          <w:color w:val="0070C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</w:rPr>
        <w:t>凯金新能源为校招生提供</w:t>
      </w:r>
      <w:r>
        <w:rPr>
          <w:rFonts w:hint="eastAsia" w:ascii="微软雅黑" w:hAnsi="微软雅黑" w:eastAsia="微软雅黑" w:cs="微软雅黑"/>
          <w:b/>
          <w:bCs/>
          <w:color w:val="0070C0"/>
          <w:sz w:val="24"/>
          <w:szCs w:val="24"/>
        </w:rPr>
        <w:t>具有市场竞争力的薪酬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</w:rPr>
        <w:t>与</w:t>
      </w:r>
      <w:r>
        <w:rPr>
          <w:rFonts w:hint="eastAsia" w:ascii="微软雅黑" w:hAnsi="微软雅黑" w:eastAsia="微软雅黑" w:cs="微软雅黑"/>
          <w:b/>
          <w:bCs/>
          <w:color w:val="0070C0"/>
          <w:sz w:val="24"/>
          <w:szCs w:val="24"/>
        </w:rPr>
        <w:t>完善的福利保障</w:t>
      </w:r>
      <w:r>
        <w:rPr>
          <w:rFonts w:hint="eastAsia" w:ascii="微软雅黑" w:hAnsi="微软雅黑" w:eastAsia="微软雅黑" w:cs="微软雅黑"/>
          <w:color w:val="0070C0"/>
          <w:sz w:val="24"/>
          <w:szCs w:val="24"/>
        </w:rPr>
        <w:t>。</w:t>
      </w:r>
    </w:p>
    <w:p w14:paraId="0CD1C1BB">
      <w:pPr>
        <w:numPr>
          <w:ilvl w:val="0"/>
          <w:numId w:val="4"/>
        </w:numPr>
        <w:snapToGrid/>
        <w:spacing w:before="0" w:after="0" w:line="276" w:lineRule="auto"/>
        <w:jc w:val="both"/>
        <w:rPr>
          <w:rFonts w:ascii="微软雅黑" w:hAnsi="微软雅黑" w:eastAsia="微软雅黑" w:cs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本科：年薪</w:t>
      </w:r>
      <w:r>
        <w:rPr>
          <w:rFonts w:ascii="微软雅黑" w:hAnsi="微软雅黑" w:eastAsia="微软雅黑" w:cs="微软雅黑"/>
          <w:b/>
          <w:bCs/>
          <w:color w:val="0070C0"/>
          <w:sz w:val="24"/>
          <w:szCs w:val="24"/>
        </w:rPr>
        <w:t>10</w:t>
      </w:r>
      <w:r>
        <w:rPr>
          <w:rFonts w:hint="eastAsia" w:ascii="微软雅黑" w:hAnsi="微软雅黑" w:eastAsia="微软雅黑" w:cs="微软雅黑"/>
          <w:b/>
          <w:bCs/>
          <w:color w:val="0070C0"/>
          <w:sz w:val="24"/>
          <w:szCs w:val="24"/>
        </w:rPr>
        <w:t>-1</w:t>
      </w:r>
      <w:r>
        <w:rPr>
          <w:rFonts w:ascii="微软雅黑" w:hAnsi="微软雅黑" w:eastAsia="微软雅黑" w:cs="微软雅黑"/>
          <w:b/>
          <w:bCs/>
          <w:color w:val="0070C0"/>
          <w:sz w:val="24"/>
          <w:szCs w:val="24"/>
        </w:rPr>
        <w:t>7</w:t>
      </w:r>
      <w:r>
        <w:rPr>
          <w:rFonts w:hint="eastAsia" w:ascii="微软雅黑" w:hAnsi="微软雅黑" w:eastAsia="微软雅黑" w:cs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万元（研发类）/</w:t>
      </w:r>
      <w:r>
        <w:rPr>
          <w:rFonts w:ascii="微软雅黑" w:hAnsi="微软雅黑" w:eastAsia="微软雅黑" w:cs="微软雅黑"/>
          <w:b/>
          <w:bCs/>
          <w:color w:val="0070C0"/>
          <w:sz w:val="24"/>
          <w:szCs w:val="24"/>
        </w:rPr>
        <w:t>9</w:t>
      </w:r>
      <w:r>
        <w:rPr>
          <w:rFonts w:hint="eastAsia" w:ascii="微软雅黑" w:hAnsi="微软雅黑" w:eastAsia="微软雅黑" w:cs="微软雅黑"/>
          <w:b/>
          <w:bCs/>
          <w:color w:val="0070C0"/>
          <w:sz w:val="24"/>
          <w:szCs w:val="24"/>
        </w:rPr>
        <w:t>-1</w:t>
      </w:r>
      <w:r>
        <w:rPr>
          <w:rFonts w:ascii="微软雅黑" w:hAnsi="微软雅黑" w:eastAsia="微软雅黑" w:cs="微软雅黑"/>
          <w:b/>
          <w:bCs/>
          <w:color w:val="0070C0"/>
          <w:sz w:val="24"/>
          <w:szCs w:val="24"/>
        </w:rPr>
        <w:t>5</w:t>
      </w:r>
      <w:r>
        <w:rPr>
          <w:rFonts w:hint="eastAsia" w:ascii="微软雅黑" w:hAnsi="微软雅黑" w:eastAsia="微软雅黑" w:cs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万元（职能及其他类）</w:t>
      </w:r>
    </w:p>
    <w:p w14:paraId="10BF3A72">
      <w:pPr>
        <w:numPr>
          <w:ilvl w:val="0"/>
          <w:numId w:val="4"/>
        </w:numPr>
        <w:snapToGrid/>
        <w:spacing w:before="0" w:after="0" w:line="276" w:lineRule="auto"/>
        <w:jc w:val="both"/>
        <w:rPr>
          <w:rFonts w:ascii="微软雅黑" w:hAnsi="微软雅黑" w:eastAsia="微软雅黑" w:cs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硕士：年薪</w:t>
      </w:r>
      <w:r>
        <w:rPr>
          <w:rFonts w:hint="eastAsia" w:ascii="微软雅黑" w:hAnsi="微软雅黑" w:eastAsia="微软雅黑" w:cs="微软雅黑"/>
          <w:b/>
          <w:bCs/>
          <w:color w:val="0070C0"/>
          <w:sz w:val="24"/>
          <w:szCs w:val="24"/>
        </w:rPr>
        <w:t>1</w:t>
      </w:r>
      <w:r>
        <w:rPr>
          <w:rFonts w:ascii="微软雅黑" w:hAnsi="微软雅黑" w:eastAsia="微软雅黑" w:cs="微软雅黑"/>
          <w:b/>
          <w:bCs/>
          <w:color w:val="0070C0"/>
          <w:sz w:val="24"/>
          <w:szCs w:val="24"/>
        </w:rPr>
        <w:t>4</w:t>
      </w:r>
      <w:r>
        <w:rPr>
          <w:rFonts w:hint="eastAsia" w:ascii="微软雅黑" w:hAnsi="微软雅黑" w:eastAsia="微软雅黑" w:cs="微软雅黑"/>
          <w:b/>
          <w:bCs/>
          <w:color w:val="0070C0"/>
          <w:sz w:val="24"/>
          <w:szCs w:val="24"/>
        </w:rPr>
        <w:t>-2</w:t>
      </w:r>
      <w:r>
        <w:rPr>
          <w:rFonts w:ascii="微软雅黑" w:hAnsi="微软雅黑" w:eastAsia="微软雅黑" w:cs="微软雅黑"/>
          <w:b/>
          <w:bCs/>
          <w:color w:val="0070C0"/>
          <w:sz w:val="24"/>
          <w:szCs w:val="24"/>
        </w:rPr>
        <w:t>3</w:t>
      </w:r>
      <w:r>
        <w:rPr>
          <w:rFonts w:hint="eastAsia" w:ascii="微软雅黑" w:hAnsi="微软雅黑" w:eastAsia="微软雅黑" w:cs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万元（研发类）/</w:t>
      </w:r>
      <w:r>
        <w:rPr>
          <w:rFonts w:hint="eastAsia" w:ascii="微软雅黑" w:hAnsi="微软雅黑" w:eastAsia="微软雅黑" w:cs="微软雅黑"/>
          <w:b/>
          <w:bCs/>
          <w:color w:val="0070C0"/>
          <w:sz w:val="24"/>
          <w:szCs w:val="24"/>
        </w:rPr>
        <w:t>12-</w:t>
      </w:r>
      <w:r>
        <w:rPr>
          <w:rFonts w:ascii="微软雅黑" w:hAnsi="微软雅黑" w:eastAsia="微软雅黑" w:cs="微软雅黑"/>
          <w:b/>
          <w:bCs/>
          <w:color w:val="0070C0"/>
          <w:sz w:val="24"/>
          <w:szCs w:val="24"/>
        </w:rPr>
        <w:t>21</w:t>
      </w:r>
      <w:r>
        <w:rPr>
          <w:rFonts w:hint="eastAsia" w:ascii="微软雅黑" w:hAnsi="微软雅黑" w:eastAsia="微软雅黑" w:cs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万元（职能及其他类）</w:t>
      </w:r>
    </w:p>
    <w:p w14:paraId="28AACE1C">
      <w:pPr>
        <w:numPr>
          <w:ilvl w:val="0"/>
          <w:numId w:val="4"/>
        </w:numPr>
        <w:snapToGrid/>
        <w:spacing w:before="0" w:after="120" w:afterLines="50" w:line="276" w:lineRule="auto"/>
        <w:jc w:val="both"/>
        <w:rPr>
          <w:rFonts w:ascii="微软雅黑" w:hAnsi="微软雅黑" w:eastAsia="微软雅黑" w:cs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博士：研发类年薪</w:t>
      </w:r>
      <w:r>
        <w:rPr>
          <w:rFonts w:ascii="微软雅黑" w:hAnsi="微软雅黑" w:eastAsia="微软雅黑" w:cs="微软雅黑"/>
          <w:b/>
          <w:bCs/>
          <w:color w:val="0070C0"/>
          <w:sz w:val="24"/>
          <w:szCs w:val="24"/>
        </w:rPr>
        <w:t>28</w:t>
      </w:r>
      <w:r>
        <w:rPr>
          <w:rFonts w:hint="eastAsia" w:ascii="微软雅黑" w:hAnsi="微软雅黑" w:eastAsia="微软雅黑" w:cs="微软雅黑"/>
          <w:b/>
          <w:bCs/>
          <w:color w:val="0070C0"/>
          <w:sz w:val="24"/>
          <w:szCs w:val="24"/>
        </w:rPr>
        <w:t>-4</w:t>
      </w:r>
      <w:r>
        <w:rPr>
          <w:rFonts w:ascii="微软雅黑" w:hAnsi="微软雅黑" w:eastAsia="微软雅黑" w:cs="微软雅黑"/>
          <w:b/>
          <w:bCs/>
          <w:color w:val="0070C0"/>
          <w:sz w:val="24"/>
          <w:szCs w:val="24"/>
        </w:rPr>
        <w:t>6</w:t>
      </w:r>
      <w:r>
        <w:rPr>
          <w:rFonts w:hint="eastAsia" w:ascii="微软雅黑" w:hAnsi="微软雅黑" w:eastAsia="微软雅黑" w:cs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万元</w:t>
      </w:r>
    </w:p>
    <w:p w14:paraId="22358DDA">
      <w:pPr>
        <w:pStyle w:val="12"/>
        <w:numPr>
          <w:ilvl w:val="0"/>
          <w:numId w:val="5"/>
        </w:numPr>
        <w:snapToGrid/>
        <w:spacing w:before="120" w:beforeLines="50" w:after="0" w:line="276" w:lineRule="auto"/>
        <w:ind w:left="442" w:hanging="442" w:firstLineChars="0"/>
        <w:jc w:val="both"/>
        <w:rPr>
          <w:rFonts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color w:val="0070C0"/>
          <w:sz w:val="28"/>
          <w:szCs w:val="28"/>
        </w:rPr>
        <w:t>员工福利：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五险一金、带薪年假、节假日福利、生日礼包、健康体检、健身房、图书馆、定期团建、年度评优、项目奖。</w:t>
      </w:r>
    </w:p>
    <w:p w14:paraId="35B3074A">
      <w:pPr>
        <w:pStyle w:val="12"/>
        <w:numPr>
          <w:ilvl w:val="0"/>
          <w:numId w:val="5"/>
        </w:numPr>
        <w:snapToGrid/>
        <w:spacing w:before="0" w:after="0" w:line="276" w:lineRule="auto"/>
        <w:ind w:firstLineChars="0"/>
        <w:jc w:val="both"/>
        <w:rPr>
          <w:rFonts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color w:val="0070C0"/>
          <w:sz w:val="28"/>
          <w:szCs w:val="28"/>
        </w:rPr>
        <w:t>免费食宿：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公寓式宿舍环境 + 免费食堂。</w:t>
      </w:r>
    </w:p>
    <w:p w14:paraId="352A6722">
      <w:pPr>
        <w:pStyle w:val="12"/>
        <w:numPr>
          <w:ilvl w:val="0"/>
          <w:numId w:val="5"/>
        </w:numPr>
        <w:snapToGrid/>
        <w:spacing w:before="0" w:after="0" w:line="276" w:lineRule="auto"/>
        <w:ind w:left="442" w:hanging="442" w:firstLineChars="0"/>
        <w:jc w:val="both"/>
        <w:rPr>
          <w:rFonts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color w:val="0070C0"/>
          <w:sz w:val="28"/>
          <w:szCs w:val="28"/>
        </w:rPr>
        <w:t>应届生专属：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大学生拓展、入职礼包、入职交通补贴、入职体检补贴、试用期薪资不打折。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2"/>
        <w:gridCol w:w="3061"/>
        <w:gridCol w:w="3034"/>
      </w:tblGrid>
      <w:tr w14:paraId="1461C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2" w:type="dxa"/>
            <w:vAlign w:val="center"/>
          </w:tcPr>
          <w:p w14:paraId="11107CBB">
            <w:pPr>
              <w:snapToGrid/>
              <w:spacing w:before="0" w:after="0" w:line="276" w:lineRule="auto"/>
              <w:jc w:val="both"/>
              <w:rPr>
                <w:rFonts w:ascii="微软雅黑" w:hAnsi="微软雅黑" w:eastAsia="微软雅黑" w:cs="微软雅黑"/>
                <w:color w:val="auto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32"/>
                <w:szCs w:val="28"/>
              </w:rPr>
              <w:drawing>
                <wp:inline distT="0" distB="0" distL="0" distR="0">
                  <wp:extent cx="2038350" cy="1435100"/>
                  <wp:effectExtent l="0" t="0" r="0" b="6350"/>
                  <wp:docPr id="607544573" name="descript" descr="descrip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7544573" name="descript" descr="descript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8350" cy="1435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1" w:type="dxa"/>
            <w:vAlign w:val="center"/>
          </w:tcPr>
          <w:p w14:paraId="46FABEE5">
            <w:pPr>
              <w:snapToGrid/>
              <w:spacing w:before="0" w:after="0" w:line="276" w:lineRule="auto"/>
              <w:jc w:val="both"/>
              <w:rPr>
                <w:rFonts w:ascii="微软雅黑" w:hAnsi="微软雅黑" w:eastAsia="微软雅黑" w:cs="微软雅黑"/>
                <w:color w:val="auto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32"/>
                <w:szCs w:val="28"/>
              </w:rPr>
              <w:drawing>
                <wp:inline distT="0" distB="0" distL="0" distR="0">
                  <wp:extent cx="1925955" cy="1450340"/>
                  <wp:effectExtent l="0" t="0" r="9525" b="12700"/>
                  <wp:docPr id="1672052729" name="descript" descr="descrip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2052729" name="descript" descr="descript"/>
                          <pic:cNvPicPr/>
                        </pic:nvPicPr>
                        <pic:blipFill>
                          <a:blip r:embed="rId16"/>
                          <a:srcRect l="9637" t="143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5955" cy="1450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4" w:type="dxa"/>
            <w:vAlign w:val="center"/>
          </w:tcPr>
          <w:p w14:paraId="7F8D410C">
            <w:pPr>
              <w:snapToGrid/>
              <w:spacing w:before="0" w:after="0" w:line="276" w:lineRule="auto"/>
              <w:jc w:val="both"/>
              <w:rPr>
                <w:rFonts w:ascii="微软雅黑" w:hAnsi="微软雅黑" w:eastAsia="微软雅黑" w:cs="微软雅黑"/>
                <w:color w:val="auto"/>
                <w:sz w:val="24"/>
                <w:szCs w:val="24"/>
              </w:rPr>
            </w:pPr>
            <w:r>
              <w:drawing>
                <wp:inline distT="0" distB="0" distL="114300" distR="114300">
                  <wp:extent cx="1823085" cy="1491615"/>
                  <wp:effectExtent l="0" t="0" r="5715" b="1905"/>
                  <wp:docPr id="4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3085" cy="1491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09CD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2" w:type="dxa"/>
            <w:vAlign w:val="center"/>
          </w:tcPr>
          <w:p w14:paraId="154DBCA2">
            <w:pPr>
              <w:snapToGrid/>
              <w:spacing w:before="0" w:after="0" w:line="276" w:lineRule="auto"/>
              <w:jc w:val="center"/>
              <w:rPr>
                <w:rFonts w:ascii="微软雅黑" w:hAnsi="微软雅黑" w:eastAsia="微软雅黑" w:cs="微软雅黑"/>
                <w:b/>
                <w:bCs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8"/>
                <w:szCs w:val="28"/>
              </w:rPr>
              <w:t>总部大楼</w:t>
            </w:r>
          </w:p>
        </w:tc>
        <w:tc>
          <w:tcPr>
            <w:tcW w:w="3061" w:type="dxa"/>
            <w:vAlign w:val="center"/>
          </w:tcPr>
          <w:p w14:paraId="49DB1660">
            <w:pPr>
              <w:snapToGrid/>
              <w:spacing w:before="0" w:after="0" w:line="276" w:lineRule="auto"/>
              <w:jc w:val="center"/>
              <w:rPr>
                <w:rFonts w:ascii="微软雅黑" w:hAnsi="微软雅黑" w:eastAsia="微软雅黑" w:cs="微软雅黑"/>
                <w:b/>
                <w:bCs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8"/>
                <w:szCs w:val="28"/>
              </w:rPr>
              <w:t>办公环境</w:t>
            </w:r>
          </w:p>
        </w:tc>
        <w:tc>
          <w:tcPr>
            <w:tcW w:w="3034" w:type="dxa"/>
            <w:vAlign w:val="center"/>
          </w:tcPr>
          <w:p w14:paraId="23094895">
            <w:pPr>
              <w:snapToGrid/>
              <w:spacing w:before="0" w:after="0" w:line="276" w:lineRule="auto"/>
              <w:jc w:val="center"/>
              <w:rPr>
                <w:rFonts w:ascii="微软雅黑" w:hAnsi="微软雅黑" w:eastAsia="微软雅黑" w:cs="微软雅黑"/>
                <w:b/>
                <w:bCs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8"/>
                <w:szCs w:val="28"/>
              </w:rPr>
              <w:t>校招集训营</w:t>
            </w:r>
          </w:p>
        </w:tc>
      </w:tr>
      <w:tr w14:paraId="4E6E5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2" w:type="dxa"/>
            <w:vAlign w:val="center"/>
          </w:tcPr>
          <w:p w14:paraId="0AF35B62">
            <w:pPr>
              <w:snapToGrid/>
              <w:spacing w:before="0" w:after="0" w:line="276" w:lineRule="auto"/>
              <w:jc w:val="center"/>
              <w:rPr>
                <w:rFonts w:ascii="微软雅黑" w:hAnsi="微软雅黑" w:eastAsia="微软雅黑" w:cs="微软雅黑"/>
                <w:b/>
                <w:bCs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drawing>
                <wp:inline distT="0" distB="0" distL="0" distR="0">
                  <wp:extent cx="1929765" cy="1524000"/>
                  <wp:effectExtent l="0" t="0" r="5715" b="0"/>
                  <wp:docPr id="14" name="descript" descr="descrip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escript" descr="descript"/>
                          <pic:cNvPicPr/>
                        </pic:nvPicPr>
                        <pic:blipFill>
                          <a:blip r:embed="rId18">
                            <a:lum bright="6000" contrast="6000"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976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1" w:type="dxa"/>
            <w:vAlign w:val="center"/>
          </w:tcPr>
          <w:p w14:paraId="52FFD3CE">
            <w:pPr>
              <w:snapToGrid/>
              <w:spacing w:before="0" w:after="0" w:line="276" w:lineRule="auto"/>
              <w:jc w:val="center"/>
              <w:rPr>
                <w:rFonts w:ascii="微软雅黑" w:hAnsi="微软雅黑" w:eastAsia="微软雅黑" w:cs="微软雅黑"/>
                <w:b/>
                <w:bCs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32"/>
                <w:szCs w:val="28"/>
              </w:rPr>
              <w:drawing>
                <wp:inline distT="0" distB="0" distL="0" distR="0">
                  <wp:extent cx="1948815" cy="1592580"/>
                  <wp:effectExtent l="0" t="0" r="1905" b="7620"/>
                  <wp:docPr id="591799599" name="descript" descr="descrip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1799599" name="descript" descr="descript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8815" cy="1592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4" w:type="dxa"/>
            <w:vAlign w:val="center"/>
          </w:tcPr>
          <w:p w14:paraId="7B63C0D9">
            <w:pPr>
              <w:snapToGrid/>
              <w:spacing w:before="0" w:after="0" w:line="276" w:lineRule="auto"/>
              <w:jc w:val="center"/>
              <w:rPr>
                <w:rFonts w:ascii="微软雅黑" w:hAnsi="微软雅黑" w:eastAsia="微软雅黑" w:cs="微软雅黑"/>
                <w:b/>
                <w:bCs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drawing>
                <wp:inline distT="0" distB="0" distL="0" distR="0">
                  <wp:extent cx="1929130" cy="1541145"/>
                  <wp:effectExtent l="0" t="0" r="6350" b="13335"/>
                  <wp:docPr id="64818483" name="descript" descr="descrip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818483" name="descript" descr="descript"/>
                          <pic:cNvPicPr/>
                        </pic:nvPicPr>
                        <pic:blipFill>
                          <a:blip r:embed="rId20">
                            <a:lum bright="12000" contrast="18000"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1193" cy="1541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1E58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2" w:type="dxa"/>
            <w:vAlign w:val="top"/>
          </w:tcPr>
          <w:p w14:paraId="3C716D64">
            <w:pPr>
              <w:snapToGrid/>
              <w:spacing w:before="0" w:after="0" w:line="276" w:lineRule="auto"/>
              <w:jc w:val="center"/>
              <w:rPr>
                <w:rFonts w:ascii="微软雅黑" w:hAnsi="微软雅黑" w:eastAsia="微软雅黑" w:cs="微软雅黑"/>
                <w:b/>
                <w:bCs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8"/>
                <w:szCs w:val="28"/>
              </w:rPr>
              <w:t>公寓住宿</w:t>
            </w:r>
          </w:p>
        </w:tc>
        <w:tc>
          <w:tcPr>
            <w:tcW w:w="3061" w:type="dxa"/>
            <w:vAlign w:val="top"/>
          </w:tcPr>
          <w:p w14:paraId="78450264">
            <w:pPr>
              <w:snapToGrid/>
              <w:spacing w:before="0" w:after="0" w:line="276" w:lineRule="auto"/>
              <w:jc w:val="center"/>
              <w:rPr>
                <w:rFonts w:ascii="微软雅黑" w:hAnsi="微软雅黑" w:eastAsia="微软雅黑" w:cs="微软雅黑"/>
                <w:b/>
                <w:bCs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8"/>
                <w:szCs w:val="28"/>
              </w:rPr>
              <w:t>健身房</w:t>
            </w:r>
          </w:p>
        </w:tc>
        <w:tc>
          <w:tcPr>
            <w:tcW w:w="3034" w:type="dxa"/>
            <w:vAlign w:val="top"/>
          </w:tcPr>
          <w:p w14:paraId="3D4D9065">
            <w:pPr>
              <w:snapToGrid/>
              <w:spacing w:before="0" w:after="0" w:line="276" w:lineRule="auto"/>
              <w:jc w:val="center"/>
              <w:rPr>
                <w:rFonts w:ascii="微软雅黑" w:hAnsi="微软雅黑" w:eastAsia="微软雅黑" w:cs="微软雅黑"/>
                <w:b/>
                <w:bCs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8"/>
                <w:szCs w:val="28"/>
              </w:rPr>
              <w:t>图书馆</w:t>
            </w:r>
          </w:p>
        </w:tc>
      </w:tr>
    </w:tbl>
    <w:p w14:paraId="37F94E85">
      <w:pPr>
        <w:snapToGrid/>
        <w:spacing w:before="0" w:after="0" w:line="240" w:lineRule="auto"/>
        <w:jc w:val="both"/>
        <w:rPr>
          <w:rFonts w:ascii="微软雅黑" w:hAnsi="微软雅黑" w:eastAsia="微软雅黑" w:cs="微软雅黑"/>
          <w:sz w:val="32"/>
          <w:szCs w:val="32"/>
        </w:rPr>
      </w:pPr>
    </w:p>
    <w:p w14:paraId="6AC52B69">
      <w:pPr>
        <w:snapToGrid/>
        <w:spacing w:before="0" w:after="0" w:line="276" w:lineRule="auto"/>
        <w:jc w:val="both"/>
        <w:rPr>
          <w:rFonts w:ascii="微软雅黑" w:hAnsi="微软雅黑" w:eastAsia="微软雅黑" w:cs="微软雅黑"/>
          <w:b/>
          <w:color w:val="0070C0"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color w:val="0070C0"/>
          <w:sz w:val="36"/>
          <w:szCs w:val="36"/>
        </w:rPr>
        <w:t>四、职等你来凯金</w:t>
      </w:r>
    </w:p>
    <w:p w14:paraId="5A44D274">
      <w:pPr>
        <w:snapToGrid/>
        <w:spacing w:before="0" w:after="0" w:line="276" w:lineRule="auto"/>
        <w:jc w:val="both"/>
        <w:rPr>
          <w:rFonts w:ascii="微软雅黑" w:hAnsi="微软雅黑" w:eastAsia="微软雅黑" w:cs="微软雅黑"/>
          <w:b/>
          <w:color w:val="0070C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color w:val="0070C0"/>
          <w:sz w:val="28"/>
          <w:szCs w:val="28"/>
        </w:rPr>
        <w:t>1.应聘流程：</w:t>
      </w:r>
    </w:p>
    <w:p w14:paraId="3D39DB21">
      <w:pPr>
        <w:snapToGrid/>
        <w:spacing w:before="0" w:after="0" w:line="276" w:lineRule="auto"/>
        <w:jc w:val="both"/>
        <w:rPr>
          <w:rFonts w:ascii="微软雅黑" w:hAnsi="微软雅黑" w:eastAsia="微软雅黑" w:cs="微软雅黑"/>
          <w:b/>
          <w:color w:val="199EFF"/>
          <w:sz w:val="32"/>
          <w:szCs w:val="32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网申→ 简历筛选 → 初试 → 复试 → 发放offer → 签约两方/三方 → 入职</w:t>
      </w:r>
    </w:p>
    <w:p w14:paraId="0F801463">
      <w:pPr>
        <w:snapToGrid/>
        <w:spacing w:before="0" w:after="0" w:line="276" w:lineRule="auto"/>
        <w:jc w:val="both"/>
        <w:rPr>
          <w:rFonts w:ascii="微软雅黑" w:hAnsi="微软雅黑" w:eastAsia="微软雅黑" w:cs="微软雅黑"/>
          <w:b/>
          <w:color w:val="0070C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color w:val="0070C0"/>
          <w:sz w:val="28"/>
          <w:szCs w:val="28"/>
        </w:rPr>
        <w:t>2.投递渠道：</w:t>
      </w:r>
    </w:p>
    <w:p w14:paraId="0BFD0D23">
      <w:pPr>
        <w:pStyle w:val="12"/>
        <w:numPr>
          <w:ilvl w:val="0"/>
          <w:numId w:val="6"/>
        </w:numPr>
        <w:snapToGrid/>
        <w:spacing w:before="0" w:after="0" w:line="276" w:lineRule="auto"/>
        <w:ind w:firstLineChars="0"/>
        <w:jc w:val="both"/>
        <w:rPr>
          <w:rFonts w:ascii="微软雅黑" w:hAnsi="微软雅黑" w:eastAsia="微软雅黑" w:cs="微软雅黑"/>
          <w:b/>
          <w:bCs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color w:val="0070C0"/>
          <w:sz w:val="28"/>
          <w:szCs w:val="28"/>
        </w:rPr>
        <w:t>移动端：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扫码关注【凯金新能源招聘】公众号，点击菜单栏【校园招聘】-【校招网申】投递简历。</w:t>
      </w:r>
    </w:p>
    <w:p w14:paraId="0EF701AB">
      <w:pPr>
        <w:snapToGrid/>
        <w:spacing w:before="0" w:after="0" w:line="276" w:lineRule="auto"/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drawing>
          <wp:inline distT="0" distB="0" distL="0" distR="0">
            <wp:extent cx="1214120" cy="1252220"/>
            <wp:effectExtent l="0" t="0" r="5080" b="12700"/>
            <wp:docPr id="26" name="descript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descript" descr="descript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214120" cy="1252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331CE4">
      <w:pPr>
        <w:pStyle w:val="12"/>
        <w:numPr>
          <w:ilvl w:val="0"/>
          <w:numId w:val="6"/>
        </w:numPr>
        <w:snapToGrid/>
        <w:spacing w:before="0" w:after="0" w:line="276" w:lineRule="auto"/>
        <w:ind w:firstLineChars="0"/>
        <w:jc w:val="both"/>
        <w:rPr>
          <w:rFonts w:ascii="微软雅黑" w:hAnsi="微软雅黑" w:eastAsia="微软雅黑" w:cs="微软雅黑"/>
          <w:b/>
          <w:color w:val="199EFF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color w:val="0070C0"/>
          <w:sz w:val="28"/>
          <w:szCs w:val="28"/>
        </w:rPr>
        <w:t xml:space="preserve">PC端: </w:t>
      </w:r>
      <w:r>
        <w:fldChar w:fldCharType="begin"/>
      </w:r>
      <w:r>
        <w:instrText xml:space="preserve"> HYPERLINK "https://kaijin2.zhiye.com/" </w:instrText>
      </w:r>
      <w:r>
        <w:fldChar w:fldCharType="separate"/>
      </w:r>
      <w:r>
        <w:rPr>
          <w:rStyle w:val="9"/>
          <w:rFonts w:hint="eastAsia" w:ascii="微软雅黑" w:hAnsi="微软雅黑" w:eastAsia="微软雅黑" w:cs="微软雅黑"/>
          <w:sz w:val="28"/>
          <w:szCs w:val="28"/>
        </w:rPr>
        <w:t>https://kaijin2.zhiye.com/</w:t>
      </w:r>
      <w:r>
        <w:rPr>
          <w:rStyle w:val="9"/>
          <w:rFonts w:hint="eastAsia" w:ascii="微软雅黑" w:hAnsi="微软雅黑" w:eastAsia="微软雅黑" w:cs="微软雅黑"/>
          <w:sz w:val="28"/>
          <w:szCs w:val="28"/>
        </w:rPr>
        <w:fldChar w:fldCharType="end"/>
      </w:r>
    </w:p>
    <w:p w14:paraId="08BE798E">
      <w:pPr>
        <w:pStyle w:val="12"/>
        <w:numPr>
          <w:ilvl w:val="0"/>
          <w:numId w:val="6"/>
        </w:numPr>
        <w:snapToGrid/>
        <w:spacing w:before="0" w:after="0" w:line="276" w:lineRule="auto"/>
        <w:ind w:firstLineChars="0"/>
        <w:jc w:val="both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color w:val="0070C0"/>
          <w:sz w:val="28"/>
          <w:szCs w:val="28"/>
        </w:rPr>
        <w:t>内部推荐：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寻找身边的凯金师兄师姐/校园大使，获取校招内推码，简历可获得优先筛选资格。</w:t>
      </w:r>
    </w:p>
    <w:p w14:paraId="05AB6008">
      <w:pPr>
        <w:pStyle w:val="12"/>
        <w:numPr>
          <w:ilvl w:val="0"/>
          <w:numId w:val="6"/>
        </w:numPr>
        <w:snapToGrid/>
        <w:spacing w:before="0" w:after="0" w:line="276" w:lineRule="auto"/>
        <w:ind w:firstLineChars="0"/>
        <w:jc w:val="both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color w:val="0070C0"/>
          <w:sz w:val="28"/>
          <w:szCs w:val="28"/>
        </w:rPr>
        <w:t>宣讲会：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可现场投递简历。</w:t>
      </w:r>
    </w:p>
    <w:p w14:paraId="20020571">
      <w:pPr>
        <w:pStyle w:val="12"/>
        <w:snapToGrid/>
        <w:spacing w:before="0" w:after="0" w:line="276" w:lineRule="auto"/>
        <w:ind w:left="440" w:firstLine="0" w:firstLineChars="0"/>
        <w:jc w:val="center"/>
        <w:rPr>
          <w:rFonts w:ascii="微软雅黑" w:hAnsi="微软雅黑" w:eastAsia="微软雅黑" w:cs="微软雅黑"/>
          <w:color w:val="00000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2229485</wp:posOffset>
            </wp:positionH>
            <wp:positionV relativeFrom="paragraph">
              <wp:posOffset>20955</wp:posOffset>
            </wp:positionV>
            <wp:extent cx="1261745" cy="835025"/>
            <wp:effectExtent l="0" t="0" r="3175" b="3175"/>
            <wp:wrapNone/>
            <wp:docPr id="433582417" name="图片 3" descr="徽标, 公司名称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582417" name="图片 3" descr="徽标, 公司名称&#10;&#10;描述已自动生成"/>
                    <pic:cNvPicPr>
                      <a:picLocks noChangeAspect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019"/>
                    <a:stretch>
                      <a:fillRect/>
                    </a:stretch>
                  </pic:blipFill>
                  <pic:spPr>
                    <a:xfrm>
                      <a:off x="0" y="0"/>
                      <a:ext cx="1261745" cy="8350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0FA2DF9">
      <w:pPr>
        <w:snapToGrid/>
        <w:spacing w:before="0" w:after="0" w:line="276" w:lineRule="auto"/>
        <w:jc w:val="both"/>
        <w:rPr>
          <w:rFonts w:ascii="微软雅黑" w:hAnsi="微软雅黑" w:eastAsia="微软雅黑" w:cs="微软雅黑"/>
          <w:b/>
          <w:bCs/>
          <w:i/>
          <w:iCs/>
          <w:color w:val="000000"/>
          <w:sz w:val="32"/>
          <w:szCs w:val="32"/>
        </w:rPr>
      </w:pPr>
    </w:p>
    <w:p w14:paraId="29FCE8E3">
      <w:pPr>
        <w:snapToGrid/>
        <w:spacing w:before="480" w:beforeLines="200" w:after="0" w:line="276" w:lineRule="auto"/>
        <w:jc w:val="center"/>
        <w:rPr>
          <w:rFonts w:ascii="微软雅黑" w:hAnsi="微软雅黑" w:eastAsia="微软雅黑" w:cs="微软雅黑"/>
          <w:b/>
          <w:bCs/>
          <w:i/>
          <w:iCs/>
          <w:color w:val="00000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i/>
          <w:iCs/>
          <w:color w:val="000000"/>
          <w:sz w:val="32"/>
          <w:szCs w:val="32"/>
        </w:rPr>
        <w:t>期 待 你 的 加 入 ！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5" w:h="16838"/>
      <w:pgMar w:top="1361" w:right="1417" w:bottom="1361" w:left="1417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norHAnsi">
    <w:altName w:val="Segoe Print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norEastAsia">
    <w:altName w:val="宋体"/>
    <w:panose1 w:val="020B0604020202020204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libaba PuHuiTi Regular">
    <w:altName w:val="宋体"/>
    <w:panose1 w:val="020B0604020202020204"/>
    <w:charset w:val="86"/>
    <w:family w:val="auto"/>
    <w:pitch w:val="default"/>
    <w:sig w:usb0="00000000" w:usb1="00000000" w:usb2="0000001E" w:usb3="00000000" w:csb0="000400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AD1FBD">
    <w:pPr>
      <w:pStyle w:val="2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FFB94E">
                          <w:pPr>
                            <w:pStyle w:val="2"/>
                            <w:rPr>
                              <w:rFonts w:ascii="微软雅黑" w:hAnsi="微软雅黑" w:eastAsia="微软雅黑" w:cs="微软雅黑"/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</w:rPr>
                            <w:t xml:space="preserve">第 </w:t>
                          </w:r>
                          <w:r>
                            <w:rPr>
                              <w:rFonts w:hint="eastAsia" w:ascii="微软雅黑" w:hAnsi="微软雅黑" w:eastAsia="微软雅黑" w:cs="微软雅黑"/>
                            </w:rPr>
                            <w:fldChar w:fldCharType="begin"/>
                          </w:r>
                          <w:r>
                            <w:rPr>
                              <w:rFonts w:hint="eastAsia" w:ascii="微软雅黑" w:hAnsi="微软雅黑" w:eastAsia="微软雅黑" w:cs="微软雅黑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微软雅黑" w:hAnsi="微软雅黑" w:eastAsia="微软雅黑" w:cs="微软雅黑"/>
                            </w:rPr>
                            <w:fldChar w:fldCharType="separate"/>
                          </w:r>
                          <w:r>
                            <w:rPr>
                              <w:rFonts w:hint="eastAsia" w:ascii="微软雅黑" w:hAnsi="微软雅黑" w:eastAsia="微软雅黑" w:cs="微软雅黑"/>
                            </w:rPr>
                            <w:t>1</w:t>
                          </w:r>
                          <w:r>
                            <w:rPr>
                              <w:rFonts w:hint="eastAsia" w:ascii="微软雅黑" w:hAnsi="微软雅黑" w:eastAsia="微软雅黑" w:cs="微软雅黑"/>
                            </w:rPr>
                            <w:fldChar w:fldCharType="end"/>
                          </w:r>
                          <w:r>
                            <w:rPr>
                              <w:rFonts w:hint="eastAsia" w:ascii="微软雅黑" w:hAnsi="微软雅黑" w:eastAsia="微软雅黑" w:cs="微软雅黑"/>
                            </w:rPr>
                            <w:t xml:space="preserve"> 页 共 </w:t>
                          </w:r>
                          <w:r>
                            <w:rPr>
                              <w:rFonts w:hint="eastAsia" w:ascii="微软雅黑" w:hAnsi="微软雅黑" w:eastAsia="微软雅黑" w:cs="微软雅黑"/>
                            </w:rPr>
                            <w:fldChar w:fldCharType="begin"/>
                          </w:r>
                          <w:r>
                            <w:rPr>
                              <w:rFonts w:hint="eastAsia" w:ascii="微软雅黑" w:hAnsi="微软雅黑" w:eastAsia="微软雅黑" w:cs="微软雅黑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微软雅黑" w:hAnsi="微软雅黑" w:eastAsia="微软雅黑" w:cs="微软雅黑"/>
                            </w:rPr>
                            <w:fldChar w:fldCharType="separate"/>
                          </w:r>
                          <w:r>
                            <w:rPr>
                              <w:rFonts w:hint="eastAsia" w:ascii="微软雅黑" w:hAnsi="微软雅黑" w:eastAsia="微软雅黑" w:cs="微软雅黑"/>
                            </w:rPr>
                            <w:t>6</w:t>
                          </w:r>
                          <w:r>
                            <w:rPr>
                              <w:rFonts w:hint="eastAsia" w:ascii="微软雅黑" w:hAnsi="微软雅黑" w:eastAsia="微软雅黑" w:cs="微软雅黑"/>
                            </w:rPr>
                            <w:fldChar w:fldCharType="end"/>
                          </w:r>
                          <w:r>
                            <w:rPr>
                              <w:rFonts w:hint="eastAsia" w:ascii="微软雅黑" w:hAnsi="微软雅黑" w:eastAsia="微软雅黑" w:cs="微软雅黑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1FFB94E">
                    <w:pPr>
                      <w:pStyle w:val="2"/>
                      <w:rPr>
                        <w:rFonts w:ascii="微软雅黑" w:hAnsi="微软雅黑" w:eastAsia="微软雅黑" w:cs="微软雅黑"/>
                      </w:rPr>
                    </w:pPr>
                    <w:r>
                      <w:rPr>
                        <w:rFonts w:hint="eastAsia" w:ascii="微软雅黑" w:hAnsi="微软雅黑" w:eastAsia="微软雅黑" w:cs="微软雅黑"/>
                      </w:rPr>
                      <w:t xml:space="preserve">第 </w:t>
                    </w:r>
                    <w:r>
                      <w:rPr>
                        <w:rFonts w:hint="eastAsia" w:ascii="微软雅黑" w:hAnsi="微软雅黑" w:eastAsia="微软雅黑" w:cs="微软雅黑"/>
                      </w:rPr>
                      <w:fldChar w:fldCharType="begin"/>
                    </w:r>
                    <w:r>
                      <w:rPr>
                        <w:rFonts w:hint="eastAsia" w:ascii="微软雅黑" w:hAnsi="微软雅黑" w:eastAsia="微软雅黑" w:cs="微软雅黑"/>
                      </w:rPr>
                      <w:instrText xml:space="preserve"> PAGE  \* MERGEFORMAT </w:instrText>
                    </w:r>
                    <w:r>
                      <w:rPr>
                        <w:rFonts w:hint="eastAsia" w:ascii="微软雅黑" w:hAnsi="微软雅黑" w:eastAsia="微软雅黑" w:cs="微软雅黑"/>
                      </w:rPr>
                      <w:fldChar w:fldCharType="separate"/>
                    </w:r>
                    <w:r>
                      <w:rPr>
                        <w:rFonts w:hint="eastAsia" w:ascii="微软雅黑" w:hAnsi="微软雅黑" w:eastAsia="微软雅黑" w:cs="微软雅黑"/>
                      </w:rPr>
                      <w:t>1</w:t>
                    </w:r>
                    <w:r>
                      <w:rPr>
                        <w:rFonts w:hint="eastAsia" w:ascii="微软雅黑" w:hAnsi="微软雅黑" w:eastAsia="微软雅黑" w:cs="微软雅黑"/>
                      </w:rPr>
                      <w:fldChar w:fldCharType="end"/>
                    </w:r>
                    <w:r>
                      <w:rPr>
                        <w:rFonts w:hint="eastAsia" w:ascii="微软雅黑" w:hAnsi="微软雅黑" w:eastAsia="微软雅黑" w:cs="微软雅黑"/>
                      </w:rPr>
                      <w:t xml:space="preserve"> 页 共 </w:t>
                    </w:r>
                    <w:r>
                      <w:rPr>
                        <w:rFonts w:hint="eastAsia" w:ascii="微软雅黑" w:hAnsi="微软雅黑" w:eastAsia="微软雅黑" w:cs="微软雅黑"/>
                      </w:rPr>
                      <w:fldChar w:fldCharType="begin"/>
                    </w:r>
                    <w:r>
                      <w:rPr>
                        <w:rFonts w:hint="eastAsia" w:ascii="微软雅黑" w:hAnsi="微软雅黑" w:eastAsia="微软雅黑" w:cs="微软雅黑"/>
                      </w:rPr>
                      <w:instrText xml:space="preserve"> NUMPAGES  \* MERGEFORMAT </w:instrText>
                    </w:r>
                    <w:r>
                      <w:rPr>
                        <w:rFonts w:hint="eastAsia" w:ascii="微软雅黑" w:hAnsi="微软雅黑" w:eastAsia="微软雅黑" w:cs="微软雅黑"/>
                      </w:rPr>
                      <w:fldChar w:fldCharType="separate"/>
                    </w:r>
                    <w:r>
                      <w:rPr>
                        <w:rFonts w:hint="eastAsia" w:ascii="微软雅黑" w:hAnsi="微软雅黑" w:eastAsia="微软雅黑" w:cs="微软雅黑"/>
                      </w:rPr>
                      <w:t>6</w:t>
                    </w:r>
                    <w:r>
                      <w:rPr>
                        <w:rFonts w:hint="eastAsia" w:ascii="微软雅黑" w:hAnsi="微软雅黑" w:eastAsia="微软雅黑" w:cs="微软雅黑"/>
                      </w:rPr>
                      <w:fldChar w:fldCharType="end"/>
                    </w:r>
                    <w:r>
                      <w:rPr>
                        <w:rFonts w:hint="eastAsia" w:ascii="微软雅黑" w:hAnsi="微软雅黑" w:eastAsia="微软雅黑" w:cs="微软雅黑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3660E4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EB9E48"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12" w:lineRule="auto"/>
      </w:pPr>
      <w:r>
        <w:separator/>
      </w:r>
    </w:p>
  </w:footnote>
  <w:footnote w:type="continuationSeparator" w:id="1">
    <w:p>
      <w:pPr>
        <w:spacing w:before="0" w:after="0" w:line="312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252CC4">
    <w:pPr>
      <w:pStyle w:val="3"/>
      <w:jc w:val="left"/>
      <w:rPr>
        <w:rFonts w:hint="eastAsia" w:eastAsia="Alibaba PuHuiTi Regular"/>
        <w:color w:val="080808"/>
      </w:rPr>
    </w:pPr>
    <w:r>
      <w:rPr>
        <w:rFonts w:hint="eastAsia" w:ascii="Alibaba PuHuiTi Regular" w:hAnsi="Alibaba PuHuiTi Regular" w:eastAsia="Alibaba PuHuiTi Regular" w:cs="Alibaba PuHuiTi Regular"/>
        <w:color w:val="080808"/>
        <w:sz w:val="21"/>
        <w:szCs w:val="21"/>
      </w:rPr>
      <w:drawing>
        <wp:inline distT="0" distB="0" distL="0" distR="0">
          <wp:extent cx="501650" cy="370205"/>
          <wp:effectExtent l="0" t="0" r="1270" b="10795"/>
          <wp:docPr id="149743482" name="图片 1" descr="徽标, 公司名称&#10;&#10;描述已自动生成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743482" name="图片 1" descr="徽标, 公司名称&#10;&#10;描述已自动生成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173" b="13913"/>
                  <a:stretch>
                    <a:fillRect/>
                  </a:stretch>
                </pic:blipFill>
                <pic:spPr>
                  <a:xfrm>
                    <a:off x="0" y="0"/>
                    <a:ext cx="506370" cy="374273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 w:ascii="Alibaba PuHuiTi Regular" w:hAnsi="Alibaba PuHuiTi Regular" w:eastAsia="Alibaba PuHuiTi Regular" w:cs="Alibaba PuHuiTi Regular"/>
        <w:color w:val="080808"/>
        <w:sz w:val="21"/>
        <w:szCs w:val="21"/>
      </w:rPr>
      <w:t xml:space="preserve">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B8FE91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E1A789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60164F5"/>
    <w:multiLevelType w:val="singleLevel"/>
    <w:tmpl w:val="C60164F5"/>
    <w:lvl w:ilvl="0" w:tentative="0">
      <w:start w:val="1"/>
      <w:numFmt w:val="bullet"/>
      <w:lvlText w:val="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32A40865"/>
    <w:multiLevelType w:val="multilevel"/>
    <w:tmpl w:val="32A40865"/>
    <w:lvl w:ilvl="0" w:tentative="0">
      <w:start w:val="1"/>
      <w:numFmt w:val="bullet"/>
      <w:lvlText w:val=""/>
      <w:lvlJc w:val="left"/>
      <w:pPr>
        <w:ind w:left="853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93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33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73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13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53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93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933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73" w:hanging="440"/>
      </w:pPr>
      <w:rPr>
        <w:rFonts w:hint="default" w:ascii="Wingdings" w:hAnsi="Wingdings"/>
      </w:rPr>
    </w:lvl>
  </w:abstractNum>
  <w:abstractNum w:abstractNumId="2">
    <w:nsid w:val="33A17235"/>
    <w:multiLevelType w:val="multilevel"/>
    <w:tmpl w:val="33A17235"/>
    <w:lvl w:ilvl="0" w:tentative="0">
      <w:start w:val="1"/>
      <w:numFmt w:val="bullet"/>
      <w:lvlText w:val=""/>
      <w:lvlJc w:val="left"/>
      <w:pPr>
        <w:ind w:left="440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8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32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0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4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2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60" w:hanging="440"/>
      </w:pPr>
      <w:rPr>
        <w:rFonts w:hint="default" w:ascii="Wingdings" w:hAnsi="Wingdings"/>
      </w:rPr>
    </w:lvl>
  </w:abstractNum>
  <w:abstractNum w:abstractNumId="3">
    <w:nsid w:val="49FED7DD"/>
    <w:multiLevelType w:val="singleLevel"/>
    <w:tmpl w:val="49FED7DD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5F7302D9"/>
    <w:multiLevelType w:val="singleLevel"/>
    <w:tmpl w:val="5F7302D9"/>
    <w:lvl w:ilvl="0" w:tentative="0">
      <w:start w:val="1"/>
      <w:numFmt w:val="decimal"/>
      <w:suff w:val="nothing"/>
      <w:lvlText w:val="%1、"/>
      <w:lvlJc w:val="left"/>
    </w:lvl>
  </w:abstractNum>
  <w:abstractNum w:abstractNumId="5">
    <w:nsid w:val="6EA34513"/>
    <w:multiLevelType w:val="multilevel"/>
    <w:tmpl w:val="6EA34513"/>
    <w:lvl w:ilvl="0" w:tentative="0">
      <w:start w:val="1"/>
      <w:numFmt w:val="bullet"/>
      <w:lvlText w:val=""/>
      <w:lvlJc w:val="left"/>
      <w:pPr>
        <w:ind w:left="440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8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32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0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4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2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60" w:hanging="440"/>
      </w:pPr>
      <w:rPr>
        <w:rFonts w:hint="default" w:ascii="Wingdings" w:hAnsi="Wingdings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E58"/>
    <w:rsid w:val="00816E58"/>
    <w:rsid w:val="00926A19"/>
    <w:rsid w:val="00BF198E"/>
    <w:rsid w:val="00D72A19"/>
    <w:rsid w:val="00D93097"/>
    <w:rsid w:val="15475B55"/>
    <w:rsid w:val="17E93546"/>
    <w:rsid w:val="18DC2225"/>
    <w:rsid w:val="191D170E"/>
    <w:rsid w:val="26F86CAF"/>
    <w:rsid w:val="2B0A23AA"/>
    <w:rsid w:val="336058E1"/>
    <w:rsid w:val="3A160C22"/>
    <w:rsid w:val="3C57218D"/>
    <w:rsid w:val="3C6B24D0"/>
    <w:rsid w:val="3E014747"/>
    <w:rsid w:val="430A1DED"/>
    <w:rsid w:val="5409646C"/>
    <w:rsid w:val="55E502FC"/>
    <w:rsid w:val="58B46E15"/>
    <w:rsid w:val="5A9A2682"/>
    <w:rsid w:val="5F4A3D0F"/>
    <w:rsid w:val="62ED502D"/>
    <w:rsid w:val="66A12F19"/>
    <w:rsid w:val="70DD1B3D"/>
    <w:rsid w:val="74215EE4"/>
    <w:rsid w:val="7434128C"/>
    <w:rsid w:val="743C05DE"/>
    <w:rsid w:val="758B7F56"/>
    <w:rsid w:val="76F8267A"/>
    <w:rsid w:val="78DC4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 w:val="0"/>
      <w:spacing w:before="60" w:after="60" w:line="312" w:lineRule="auto"/>
    </w:pPr>
    <w:rPr>
      <w:rFonts w:ascii="minorHAnsi" w:hAnsi="minorHAnsi" w:eastAsia="minorEastAsia" w:cstheme="minorBidi"/>
      <w:color w:val="333333"/>
      <w:kern w:val="2"/>
      <w:sz w:val="22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pacing w:line="240" w:lineRule="auto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tabs>
        <w:tab w:val="center" w:pos="4153"/>
        <w:tab w:val="right" w:pos="8306"/>
      </w:tabs>
      <w:spacing w:line="240" w:lineRule="auto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rPr>
      <w:sz w:val="24"/>
    </w:rPr>
  </w:style>
  <w:style w:type="paragraph" w:styleId="5">
    <w:name w:val="Title"/>
    <w:basedOn w:val="1"/>
    <w:next w:val="1"/>
    <w:qFormat/>
    <w:uiPriority w:val="9"/>
    <w:pPr>
      <w:keepNext/>
      <w:keepLines/>
      <w:spacing w:before="0" w:after="0" w:line="408" w:lineRule="auto"/>
      <w:jc w:val="center"/>
      <w:outlineLvl w:val="0"/>
    </w:pPr>
    <w:rPr>
      <w:b/>
      <w:bCs/>
      <w:color w:val="1A1A1A"/>
      <w:sz w:val="48"/>
      <w:szCs w:val="48"/>
    </w:rPr>
  </w:style>
  <w:style w:type="table" w:styleId="7">
    <w:name w:val="Table Grid"/>
    <w:basedOn w:val="6"/>
    <w:qFormat/>
    <w:uiPriority w:val="39"/>
    <w:tblPr>
      <w:tblBorders>
        <w:top w:val="single" w:color="CBCDD1" w:sz="6" w:space="0"/>
        <w:left w:val="single" w:color="CBCDD1" w:sz="6" w:space="0"/>
        <w:bottom w:val="single" w:color="CBCDD1" w:sz="6" w:space="0"/>
        <w:right w:val="single" w:color="CBCDD1" w:sz="6" w:space="0"/>
        <w:insideH w:val="single" w:color="CBCDD1" w:sz="6" w:space="0"/>
        <w:insideV w:val="single" w:color="CBCDD1" w:sz="6" w:space="0"/>
      </w:tblBorders>
    </w:tblPr>
    <w:tcPr>
      <w:vAlign w:val="center"/>
    </w:tcPr>
  </w:style>
  <w:style w:type="character" w:styleId="9">
    <w:name w:val="Hyperlink"/>
    <w:basedOn w:val="8"/>
    <w:qFormat/>
    <w:uiPriority w:val="0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字符"/>
    <w:basedOn w:val="8"/>
    <w:link w:val="3"/>
    <w:qFormat/>
    <w:uiPriority w:val="0"/>
    <w:rPr>
      <w:color w:val="333333"/>
      <w:kern w:val="2"/>
      <w:sz w:val="18"/>
      <w:szCs w:val="18"/>
    </w:rPr>
  </w:style>
  <w:style w:type="character" w:customStyle="1" w:styleId="11">
    <w:name w:val="页脚 字符"/>
    <w:basedOn w:val="8"/>
    <w:link w:val="2"/>
    <w:qFormat/>
    <w:uiPriority w:val="0"/>
    <w:rPr>
      <w:color w:val="333333"/>
      <w:kern w:val="2"/>
      <w:sz w:val="18"/>
      <w:szCs w:val="18"/>
    </w:rPr>
  </w:style>
  <w:style w:type="paragraph" w:customStyle="1" w:styleId="12">
    <w:name w:val="列表段落1"/>
    <w:basedOn w:val="1"/>
    <w:unhideWhenUsed/>
    <w:qFormat/>
    <w:uiPriority w:val="99"/>
    <w:pPr>
      <w:ind w:firstLine="420" w:firstLineChars="200"/>
    </w:pPr>
  </w:style>
  <w:style w:type="character" w:customStyle="1" w:styleId="13">
    <w:name w:val="未处理的提及1"/>
    <w:basedOn w:val="8"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5" Type="http://schemas.openxmlformats.org/officeDocument/2006/relationships/fontTable" Target="fontTable.xml"/><Relationship Id="rId24" Type="http://schemas.openxmlformats.org/officeDocument/2006/relationships/numbering" Target="numbering.xml"/><Relationship Id="rId23" Type="http://schemas.openxmlformats.org/officeDocument/2006/relationships/customXml" Target="../customXml/item1.xml"/><Relationship Id="rId22" Type="http://schemas.openxmlformats.org/officeDocument/2006/relationships/image" Target="media/image12.jpeg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png"/><Relationship Id="rId17" Type="http://schemas.openxmlformats.org/officeDocument/2006/relationships/image" Target="media/image7.png"/><Relationship Id="rId16" Type="http://schemas.openxmlformats.org/officeDocument/2006/relationships/image" Target="media/image6.png"/><Relationship Id="rId15" Type="http://schemas.openxmlformats.org/officeDocument/2006/relationships/image" Target="media/image5.png"/><Relationship Id="rId14" Type="http://schemas.openxmlformats.org/officeDocument/2006/relationships/image" Target="media/image4.png"/><Relationship Id="rId13" Type="http://schemas.openxmlformats.org/officeDocument/2006/relationships/image" Target="media/image3.png"/><Relationship Id="rId12" Type="http://schemas.openxmlformats.org/officeDocument/2006/relationships/image" Target="media/image2.pn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762</Words>
  <Characters>839</Characters>
  <Lines>20</Lines>
  <Paragraphs>5</Paragraphs>
  <TotalTime>33</TotalTime>
  <ScaleCrop>false</ScaleCrop>
  <LinksUpToDate>false</LinksUpToDate>
  <CharactersWithSpaces>911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2026-08-29T13:16:00Z</dcterms:created>
  <dc:creator>Data</dc:creator>
  <cp:lastModifiedBy>WPS_1601792351</cp:lastModifiedBy>
  <cp:lastPrinted>2026-09-08T01:16:00Z</cp:lastPrinted>
  <dcterms:modified xsi:type="dcterms:W3CDTF">2026-09-16T15:32:54Z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7F454D5B55C242F581AC332B899F9C99_13</vt:lpwstr>
  </property>
  <property fmtid="{D5CDD505-2E9C-101B-9397-08002B2CF9AE}" pid="4" name="KSOTemplateDocerSaveRecord">
    <vt:lpwstr>eyJoZGlkIjoiYmYwZWFjNjRmYjdhMzBjNDhmYzBlODhmYjdkNTY0NGQiLCJ1c2VySWQiOiI0MDg2Nzk4ODYifQ==</vt:lpwstr>
  </property>
</Properties>
</file>